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0D1A2252" w:rsidR="00D82798" w:rsidRDefault="00D82798" w:rsidP="00D82798">
      <w:pPr>
        <w:pStyle w:val="Header"/>
        <w:rPr>
          <w:bCs/>
          <w:noProof w:val="0"/>
          <w:sz w:val="24"/>
          <w:lang w:val="en-GB"/>
        </w:rPr>
      </w:pPr>
      <w:r>
        <w:rPr>
          <w:bCs/>
          <w:noProof w:val="0"/>
          <w:sz w:val="24"/>
          <w:lang w:val="en-GB"/>
        </w:rPr>
        <w:t>3GPP TSG RAN WG1</w:t>
      </w:r>
      <w:r w:rsidR="00B72F63">
        <w:rPr>
          <w:bCs/>
          <w:noProof w:val="0"/>
          <w:sz w:val="24"/>
          <w:lang w:val="en-GB"/>
        </w:rPr>
        <w:t xml:space="preserve"> NR#</w:t>
      </w:r>
      <w:r w:rsidR="00AD66D6">
        <w:rPr>
          <w:bCs/>
          <w:noProof w:val="0"/>
          <w:sz w:val="24"/>
          <w:lang w:val="en-GB"/>
        </w:rPr>
        <w:t>9</w:t>
      </w:r>
      <w:r w:rsidR="007D557B">
        <w:rPr>
          <w:bCs/>
          <w:noProof w:val="0"/>
          <w:sz w:val="24"/>
          <w:lang w:val="en-GB"/>
        </w:rPr>
        <w:t>1</w:t>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7972F8" w:rsidRPr="007972F8">
        <w:rPr>
          <w:bCs/>
          <w:noProof w:val="0"/>
          <w:sz w:val="24"/>
          <w:lang w:val="en-GB"/>
        </w:rPr>
        <w:t>R1-1720509</w:t>
      </w:r>
    </w:p>
    <w:p w14:paraId="67DB2173" w14:textId="5939357A" w:rsidR="00A91C7F" w:rsidRPr="00461210" w:rsidRDefault="007D557B" w:rsidP="00A91C7F">
      <w:pPr>
        <w:pStyle w:val="Header"/>
        <w:tabs>
          <w:tab w:val="right" w:pos="9639"/>
        </w:tabs>
        <w:rPr>
          <w:bCs/>
          <w:noProof w:val="0"/>
          <w:sz w:val="24"/>
          <w:lang w:val="en-GB"/>
        </w:rPr>
      </w:pPr>
      <w:r>
        <w:rPr>
          <w:noProof w:val="0"/>
          <w:sz w:val="24"/>
          <w:lang w:val="en-GB"/>
        </w:rPr>
        <w:t>Reno</w:t>
      </w:r>
      <w:r w:rsidR="00A91C7F">
        <w:rPr>
          <w:noProof w:val="0"/>
          <w:sz w:val="24"/>
          <w:lang w:val="en-GB"/>
        </w:rPr>
        <w:t xml:space="preserve">, </w:t>
      </w:r>
      <w:r>
        <w:rPr>
          <w:noProof w:val="0"/>
          <w:sz w:val="24"/>
          <w:lang w:val="en-GB"/>
        </w:rPr>
        <w:t>Nevada</w:t>
      </w:r>
      <w:r w:rsidR="00A91C7F">
        <w:rPr>
          <w:noProof w:val="0"/>
          <w:sz w:val="24"/>
          <w:lang w:val="en-GB"/>
        </w:rPr>
        <w:t xml:space="preserve">, </w:t>
      </w:r>
      <w:r>
        <w:rPr>
          <w:noProof w:val="0"/>
          <w:sz w:val="24"/>
          <w:lang w:val="en-GB"/>
        </w:rPr>
        <w:t>27</w:t>
      </w:r>
      <w:r w:rsidRPr="007D557B">
        <w:rPr>
          <w:noProof w:val="0"/>
          <w:sz w:val="24"/>
          <w:vertAlign w:val="superscript"/>
          <w:lang w:val="en-GB"/>
        </w:rPr>
        <w:t>th</w:t>
      </w:r>
      <w:r>
        <w:rPr>
          <w:noProof w:val="0"/>
          <w:sz w:val="24"/>
          <w:lang w:val="en-GB"/>
        </w:rPr>
        <w:t xml:space="preserve"> Nov</w:t>
      </w:r>
      <w:r w:rsidR="00A91C7F">
        <w:rPr>
          <w:noProof w:val="0"/>
          <w:sz w:val="24"/>
          <w:lang w:val="en-GB"/>
        </w:rPr>
        <w:t>-</w:t>
      </w:r>
      <w:r w:rsidR="00DF14DC">
        <w:rPr>
          <w:noProof w:val="0"/>
          <w:sz w:val="24"/>
          <w:lang w:val="en-GB"/>
        </w:rPr>
        <w:t xml:space="preserve"> </w:t>
      </w:r>
      <w:r w:rsidR="00AD66D6">
        <w:rPr>
          <w:noProof w:val="0"/>
          <w:sz w:val="24"/>
          <w:lang w:val="en-GB"/>
        </w:rPr>
        <w:t>1</w:t>
      </w:r>
      <w:r w:rsidRPr="007D557B">
        <w:rPr>
          <w:noProof w:val="0"/>
          <w:sz w:val="24"/>
          <w:vertAlign w:val="superscript"/>
          <w:lang w:val="en-GB"/>
        </w:rPr>
        <w:t>st</w:t>
      </w:r>
      <w:r>
        <w:rPr>
          <w:noProof w:val="0"/>
          <w:sz w:val="24"/>
          <w:lang w:val="en-GB"/>
        </w:rPr>
        <w:t xml:space="preserve"> </w:t>
      </w:r>
      <w:r>
        <w:rPr>
          <w:bCs/>
          <w:sz w:val="24"/>
        </w:rPr>
        <w:t xml:space="preserve">Dec </w:t>
      </w:r>
      <w:r w:rsidR="00A91C7F" w:rsidRPr="00235B77">
        <w:rPr>
          <w:bCs/>
          <w:sz w:val="24"/>
        </w:rPr>
        <w:t>201</w:t>
      </w:r>
      <w:r w:rsidR="00A91C7F">
        <w:rPr>
          <w:bCs/>
          <w:sz w:val="24"/>
        </w:rPr>
        <w:t>7</w:t>
      </w:r>
    </w:p>
    <w:p w14:paraId="30E02940" w14:textId="77777777" w:rsidR="00CA26CE" w:rsidRPr="0016316A" w:rsidRDefault="00CA26CE" w:rsidP="00CA26CE">
      <w:pPr>
        <w:pStyle w:val="Header"/>
        <w:rPr>
          <w:bCs/>
          <w:noProof w:val="0"/>
          <w:sz w:val="24"/>
          <w:lang w:val="en-GB" w:eastAsia="ja-JP"/>
        </w:rPr>
      </w:pPr>
    </w:p>
    <w:p w14:paraId="30E02941" w14:textId="0F9AF47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D66D6">
        <w:rPr>
          <w:rFonts w:cs="Arial"/>
          <w:b/>
          <w:bCs/>
          <w:sz w:val="24"/>
        </w:rPr>
        <w:t>7</w:t>
      </w:r>
      <w:r w:rsidR="00B72F63">
        <w:rPr>
          <w:rFonts w:cs="Arial"/>
          <w:b/>
          <w:bCs/>
          <w:sz w:val="24"/>
        </w:rPr>
        <w:t>.3.1.</w:t>
      </w:r>
      <w:r w:rsidR="00AD66D6">
        <w:rPr>
          <w:rFonts w:cs="Arial"/>
          <w:b/>
          <w:bCs/>
          <w:sz w:val="24"/>
        </w:rPr>
        <w:t>4</w:t>
      </w:r>
    </w:p>
    <w:p w14:paraId="30E02942" w14:textId="5766B43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72F63">
        <w:rPr>
          <w:rFonts w:ascii="Arial" w:hAnsi="Arial" w:cs="Arial"/>
          <w:b/>
          <w:bCs/>
          <w:sz w:val="24"/>
        </w:rPr>
        <w:t>Nokia</w:t>
      </w:r>
      <w:r w:rsidR="00013455" w:rsidRPr="00013455">
        <w:rPr>
          <w:rFonts w:ascii="Arial" w:hAnsi="Arial" w:cs="Arial"/>
          <w:b/>
          <w:bCs/>
          <w:sz w:val="24"/>
        </w:rPr>
        <w:t xml:space="preserve"> Shanghai Bell</w:t>
      </w:r>
    </w:p>
    <w:p w14:paraId="30E02943" w14:textId="4442E41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477F2">
        <w:rPr>
          <w:rFonts w:ascii="Arial" w:hAnsi="Arial" w:cs="Arial"/>
          <w:b/>
          <w:bCs/>
          <w:sz w:val="24"/>
        </w:rPr>
        <w:t xml:space="preserve">On DCI </w:t>
      </w:r>
      <w:r w:rsidR="00B72F63">
        <w:rPr>
          <w:rFonts w:ascii="Arial" w:hAnsi="Arial" w:cs="Arial"/>
          <w:b/>
          <w:bCs/>
          <w:sz w:val="24"/>
        </w:rPr>
        <w:t>formats</w:t>
      </w:r>
      <w:r w:rsidR="008359EB">
        <w:rPr>
          <w:rFonts w:ascii="Arial" w:hAnsi="Arial" w:cs="Arial"/>
          <w:b/>
          <w:bCs/>
          <w:sz w:val="24"/>
        </w:rPr>
        <w:t xml:space="preserve"> 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46" w14:textId="68888B36" w:rsidR="00FF2D5B" w:rsidRDefault="008B6A40" w:rsidP="00FF2D5B">
      <w:pPr>
        <w:pStyle w:val="NormalWeb"/>
        <w:spacing w:before="0" w:beforeAutospacing="0" w:after="120" w:afterAutospacing="0"/>
        <w:jc w:val="both"/>
      </w:pPr>
      <w:r>
        <w:rPr>
          <w:sz w:val="20"/>
          <w:szCs w:val="22"/>
        </w:rPr>
        <w:t xml:space="preserve">In this contribution, we focus on the </w:t>
      </w:r>
      <w:r w:rsidR="00926019">
        <w:rPr>
          <w:sz w:val="20"/>
          <w:szCs w:val="22"/>
        </w:rPr>
        <w:t>operation of fall-back DCI</w:t>
      </w:r>
      <w:r w:rsidR="00DF14DC">
        <w:rPr>
          <w:sz w:val="20"/>
          <w:szCs w:val="22"/>
        </w:rPr>
        <w:t xml:space="preserve"> format</w:t>
      </w:r>
      <w:r w:rsidR="00D71E7F">
        <w:rPr>
          <w:sz w:val="20"/>
          <w:szCs w:val="22"/>
        </w:rPr>
        <w:t xml:space="preserve">, the configurability of </w:t>
      </w:r>
      <w:r w:rsidR="00DF14DC">
        <w:rPr>
          <w:sz w:val="20"/>
          <w:szCs w:val="22"/>
        </w:rPr>
        <w:t xml:space="preserve">general </w:t>
      </w:r>
      <w:r w:rsidR="00D71E7F">
        <w:rPr>
          <w:sz w:val="20"/>
          <w:szCs w:val="22"/>
        </w:rPr>
        <w:t xml:space="preserve">DCI </w:t>
      </w:r>
      <w:r w:rsidR="00DF14DC">
        <w:rPr>
          <w:sz w:val="20"/>
          <w:szCs w:val="22"/>
        </w:rPr>
        <w:t>format</w:t>
      </w:r>
      <w:r w:rsidR="00D71E7F">
        <w:rPr>
          <w:sz w:val="20"/>
          <w:szCs w:val="22"/>
        </w:rPr>
        <w:t>,</w:t>
      </w:r>
      <w:r>
        <w:rPr>
          <w:sz w:val="20"/>
          <w:szCs w:val="22"/>
        </w:rPr>
        <w:t xml:space="preserve"> and </w:t>
      </w:r>
      <w:r w:rsidR="00926019">
        <w:rPr>
          <w:sz w:val="20"/>
          <w:szCs w:val="22"/>
        </w:rPr>
        <w:t>padding of DCI formats</w:t>
      </w:r>
      <w:r>
        <w:rPr>
          <w:sz w:val="20"/>
          <w:szCs w:val="22"/>
        </w:rPr>
        <w:t>.</w:t>
      </w:r>
    </w:p>
    <w:p w14:paraId="12025756" w14:textId="5280921F" w:rsidR="00926019" w:rsidRDefault="00BD23FB" w:rsidP="00926019">
      <w:pPr>
        <w:jc w:val="both"/>
      </w:pPr>
      <w:r>
        <w:t>F</w:t>
      </w:r>
      <w:r w:rsidR="00926019">
        <w:t xml:space="preserve">ollowing agreements related to DCI formats and sizes </w:t>
      </w:r>
      <w:r>
        <w:t>are av</w:t>
      </w:r>
      <w:r w:rsidR="00DF14DC">
        <w:t>a</w:t>
      </w:r>
      <w:r>
        <w:t>ilable</w:t>
      </w:r>
      <w:r w:rsidR="00926019">
        <w:t>:</w:t>
      </w:r>
    </w:p>
    <w:p w14:paraId="7EDD3F93" w14:textId="77777777" w:rsidR="00926019" w:rsidRPr="00DF14DC" w:rsidRDefault="00926019" w:rsidP="00DF14DC">
      <w:pPr>
        <w:tabs>
          <w:tab w:val="left" w:pos="720"/>
          <w:tab w:val="left" w:pos="1440"/>
        </w:tabs>
        <w:rPr>
          <w:rFonts w:eastAsia="Times New Roman"/>
          <w:i/>
          <w:lang w:val="en-US"/>
        </w:rPr>
      </w:pPr>
      <w:r w:rsidRPr="00DF14DC">
        <w:rPr>
          <w:rFonts w:eastAsia="Batang"/>
          <w:i/>
          <w:kern w:val="24"/>
          <w:highlight w:val="green"/>
        </w:rPr>
        <w:t>Agreements:</w:t>
      </w:r>
    </w:p>
    <w:p w14:paraId="08DCF998" w14:textId="77777777" w:rsidR="00926019" w:rsidRPr="00DF14DC" w:rsidRDefault="00926019" w:rsidP="00DF14DC">
      <w:pPr>
        <w:numPr>
          <w:ilvl w:val="0"/>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At least two DCI sizes are defined.</w:t>
      </w:r>
    </w:p>
    <w:p w14:paraId="205FF431" w14:textId="77777777" w:rsidR="00926019" w:rsidRPr="00DF14DC" w:rsidRDefault="00926019" w:rsidP="00DF14DC">
      <w:pPr>
        <w:numPr>
          <w:ilvl w:val="1"/>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One DCI size, which is at least for the purpose of fallback.</w:t>
      </w:r>
    </w:p>
    <w:p w14:paraId="1C27C994" w14:textId="77777777" w:rsidR="00926019" w:rsidRPr="00DF14DC" w:rsidRDefault="00926019" w:rsidP="00DF14DC">
      <w:pPr>
        <w:numPr>
          <w:ilvl w:val="2"/>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FFS: for other purposes.</w:t>
      </w:r>
    </w:p>
    <w:p w14:paraId="3D6CFB12" w14:textId="77777777" w:rsidR="00926019" w:rsidRPr="00DF14DC" w:rsidRDefault="00926019" w:rsidP="00DF14DC">
      <w:pPr>
        <w:numPr>
          <w:ilvl w:val="1"/>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One DCI size depending on configuration</w:t>
      </w:r>
    </w:p>
    <w:p w14:paraId="18E8C63F" w14:textId="77777777" w:rsidR="00926019" w:rsidRPr="00DF14DC" w:rsidRDefault="00926019" w:rsidP="00DF14DC">
      <w:pPr>
        <w:numPr>
          <w:ilvl w:val="2"/>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FFS: whether both DL and UL have the same size or different.</w:t>
      </w:r>
    </w:p>
    <w:p w14:paraId="350A1729" w14:textId="77777777" w:rsidR="00926019" w:rsidRPr="00DF14DC" w:rsidRDefault="00926019" w:rsidP="00DF14DC">
      <w:pPr>
        <w:numPr>
          <w:ilvl w:val="1"/>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FFS: for group-common DCI/PDCCH</w:t>
      </w:r>
    </w:p>
    <w:p w14:paraId="5F27432E" w14:textId="77777777" w:rsidR="00926019" w:rsidRPr="00DF14DC" w:rsidRDefault="00926019" w:rsidP="00DF14DC">
      <w:pPr>
        <w:numPr>
          <w:ilvl w:val="1"/>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Note: the UE is not necessarily required to monitor two DCI sizes at the same monitoring occasion</w:t>
      </w:r>
    </w:p>
    <w:p w14:paraId="004919E6" w14:textId="77777777" w:rsidR="00926019" w:rsidRPr="00DF14DC" w:rsidRDefault="00926019" w:rsidP="00DF14DC">
      <w:pPr>
        <w:tabs>
          <w:tab w:val="left" w:pos="720"/>
          <w:tab w:val="left" w:pos="1440"/>
        </w:tabs>
        <w:spacing w:after="120"/>
        <w:jc w:val="both"/>
        <w:rPr>
          <w:rFonts w:eastAsia="Times New Roman"/>
          <w:i/>
          <w:lang w:val="en-US"/>
        </w:rPr>
      </w:pPr>
      <w:r w:rsidRPr="00DF14DC">
        <w:rPr>
          <w:rFonts w:eastAsia="MS Mincho"/>
          <w:i/>
          <w:kern w:val="24"/>
          <w:highlight w:val="green"/>
          <w:lang w:val="en-US"/>
        </w:rPr>
        <w:t>Agreements:</w:t>
      </w:r>
    </w:p>
    <w:p w14:paraId="0F734C66" w14:textId="77777777" w:rsidR="00926019" w:rsidRPr="00DF14DC" w:rsidRDefault="00926019" w:rsidP="00DF14DC">
      <w:pPr>
        <w:numPr>
          <w:ilvl w:val="0"/>
          <w:numId w:val="25"/>
        </w:numPr>
        <w:tabs>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In a given CORESET</w:t>
      </w:r>
    </w:p>
    <w:p w14:paraId="55468F3D" w14:textId="77777777" w:rsidR="00926019" w:rsidRPr="00DF14DC" w:rsidRDefault="00926019" w:rsidP="00DF14DC">
      <w:pPr>
        <w:numPr>
          <w:ilvl w:val="2"/>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Alt 1: different DCI formats</w:t>
      </w:r>
    </w:p>
    <w:p w14:paraId="0EF2097C" w14:textId="77777777" w:rsidR="00926019" w:rsidRPr="00DF14DC" w:rsidRDefault="00926019" w:rsidP="00DF14DC">
      <w:pPr>
        <w:numPr>
          <w:ilvl w:val="2"/>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Alt 2: different search spaces</w:t>
      </w:r>
    </w:p>
    <w:p w14:paraId="76629C6E" w14:textId="1A93CCBF" w:rsidR="00926019" w:rsidRPr="00DF14DC" w:rsidRDefault="00926019" w:rsidP="00DF14DC">
      <w:pPr>
        <w:pStyle w:val="ListParagraph"/>
        <w:numPr>
          <w:ilvl w:val="1"/>
          <w:numId w:val="25"/>
        </w:numPr>
        <w:tabs>
          <w:tab w:val="left" w:pos="720"/>
          <w:tab w:val="left" w:pos="1440"/>
        </w:tabs>
        <w:spacing w:after="120"/>
        <w:jc w:val="both"/>
        <w:rPr>
          <w:rFonts w:eastAsia="Times New Roman"/>
          <w:i/>
          <w:sz w:val="20"/>
          <w:szCs w:val="20"/>
          <w:lang w:val="en-US"/>
        </w:rPr>
      </w:pPr>
      <w:r w:rsidRPr="00DF14DC">
        <w:rPr>
          <w:rFonts w:eastAsia="MS Mincho"/>
          <w:i/>
          <w:kern w:val="24"/>
          <w:sz w:val="20"/>
          <w:szCs w:val="20"/>
          <w:lang w:val="en-US"/>
        </w:rPr>
        <w:t>can have different monitoring periodicities.</w:t>
      </w:r>
    </w:p>
    <w:p w14:paraId="4018259E" w14:textId="77777777" w:rsidR="00926019" w:rsidRPr="00DF14DC" w:rsidRDefault="00926019" w:rsidP="00DF14DC">
      <w:pPr>
        <w:numPr>
          <w:ilvl w:val="2"/>
          <w:numId w:val="25"/>
        </w:numPr>
        <w:tabs>
          <w:tab w:val="left" w:pos="720"/>
          <w:tab w:val="left" w:pos="1440"/>
        </w:tabs>
        <w:overflowPunct/>
        <w:autoSpaceDE/>
        <w:autoSpaceDN/>
        <w:adjustRightInd/>
        <w:spacing w:after="120"/>
        <w:contextualSpacing/>
        <w:jc w:val="both"/>
        <w:rPr>
          <w:rFonts w:eastAsia="Times New Roman"/>
          <w:i/>
          <w:lang w:val="en-US"/>
        </w:rPr>
      </w:pPr>
      <w:r w:rsidRPr="00DF14DC">
        <w:rPr>
          <w:rFonts w:eastAsia="MS Mincho"/>
          <w:i/>
          <w:kern w:val="24"/>
          <w:lang w:val="en-US"/>
        </w:rPr>
        <w:t>FFS which one</w:t>
      </w:r>
    </w:p>
    <w:p w14:paraId="7967E966" w14:textId="77777777" w:rsidR="00926019" w:rsidRPr="00DF14DC" w:rsidRDefault="00926019" w:rsidP="00DF14DC">
      <w:pPr>
        <w:rPr>
          <w:i/>
          <w:highlight w:val="green"/>
          <w:lang w:eastAsia="x-none"/>
        </w:rPr>
      </w:pPr>
      <w:r w:rsidRPr="00DF14DC">
        <w:rPr>
          <w:i/>
          <w:highlight w:val="green"/>
          <w:lang w:eastAsia="x-none"/>
        </w:rPr>
        <w:t>Agreements:</w:t>
      </w:r>
    </w:p>
    <w:p w14:paraId="2271E771" w14:textId="77777777" w:rsidR="00926019" w:rsidRPr="00DF14DC" w:rsidRDefault="00926019" w:rsidP="00DF14DC">
      <w:pPr>
        <w:numPr>
          <w:ilvl w:val="0"/>
          <w:numId w:val="25"/>
        </w:numPr>
        <w:overflowPunct/>
        <w:autoSpaceDE/>
        <w:autoSpaceDN/>
        <w:adjustRightInd/>
        <w:spacing w:after="0"/>
        <w:textAlignment w:val="auto"/>
        <w:rPr>
          <w:i/>
          <w:lang w:eastAsia="x-none"/>
        </w:rPr>
      </w:pPr>
      <w:r w:rsidRPr="00DF14DC">
        <w:rPr>
          <w:i/>
        </w:rPr>
        <w:t>For multiple DCI formats with the same DCI size of a same RNTI, an explicit identifier is included in the respective DCI format to distinguish them</w:t>
      </w:r>
    </w:p>
    <w:p w14:paraId="06C8976C" w14:textId="77777777" w:rsidR="00926019" w:rsidRPr="00DF14DC" w:rsidRDefault="00926019" w:rsidP="00DF14DC">
      <w:pPr>
        <w:numPr>
          <w:ilvl w:val="1"/>
          <w:numId w:val="25"/>
        </w:numPr>
        <w:overflowPunct/>
        <w:autoSpaceDE/>
        <w:autoSpaceDN/>
        <w:adjustRightInd/>
        <w:spacing w:after="0"/>
        <w:textAlignment w:val="auto"/>
        <w:rPr>
          <w:i/>
          <w:lang w:eastAsia="x-none"/>
        </w:rPr>
      </w:pPr>
      <w:r w:rsidRPr="00DF14DC">
        <w:rPr>
          <w:i/>
        </w:rPr>
        <w:t>Note: the same DCI size may come from a few (but not a large number of) zero-padding bits at least in UE-specific search space</w:t>
      </w:r>
    </w:p>
    <w:p w14:paraId="30E0296D" w14:textId="473C5488" w:rsidR="0078539D" w:rsidRDefault="0078539D" w:rsidP="00986146">
      <w:pPr>
        <w:spacing w:after="120"/>
        <w:jc w:val="both"/>
      </w:pPr>
    </w:p>
    <w:p w14:paraId="1BD0C5A0" w14:textId="5CB51B82" w:rsidR="00687488" w:rsidRDefault="004136EC" w:rsidP="00687488">
      <w:pPr>
        <w:pStyle w:val="Heading1"/>
        <w:rPr>
          <w:color w:val="000000"/>
        </w:rPr>
      </w:pPr>
      <w:r>
        <w:rPr>
          <w:color w:val="000000"/>
        </w:rPr>
        <w:t>2</w:t>
      </w:r>
      <w:r w:rsidR="00687488" w:rsidRPr="00A51522">
        <w:rPr>
          <w:color w:val="000000"/>
        </w:rPr>
        <w:tab/>
      </w:r>
      <w:r w:rsidR="00AC4C10">
        <w:rPr>
          <w:color w:val="000000"/>
        </w:rPr>
        <w:t>On</w:t>
      </w:r>
      <w:r w:rsidR="00ED35EA">
        <w:rPr>
          <w:color w:val="000000"/>
        </w:rPr>
        <w:t xml:space="preserve"> padding </w:t>
      </w:r>
      <w:r w:rsidR="00A921EE">
        <w:rPr>
          <w:color w:val="000000"/>
        </w:rPr>
        <w:t xml:space="preserve">in </w:t>
      </w:r>
      <w:r w:rsidR="00AC4C10">
        <w:rPr>
          <w:color w:val="000000"/>
        </w:rPr>
        <w:t xml:space="preserve">DCI </w:t>
      </w:r>
      <w:r w:rsidR="00ED35EA">
        <w:rPr>
          <w:color w:val="000000"/>
        </w:rPr>
        <w:t xml:space="preserve">formats </w:t>
      </w:r>
      <w:r w:rsidR="00AC4C10">
        <w:rPr>
          <w:color w:val="000000"/>
        </w:rPr>
        <w:t xml:space="preserve"> </w:t>
      </w:r>
    </w:p>
    <w:p w14:paraId="2E0386C3" w14:textId="0283FA4A" w:rsidR="00C643EA" w:rsidRDefault="006827E9" w:rsidP="00C643EA">
      <w:pPr>
        <w:spacing w:after="0"/>
        <w:rPr>
          <w:lang w:val="en-US"/>
        </w:rPr>
      </w:pPr>
      <w:r>
        <w:rPr>
          <w:lang w:val="en-US"/>
        </w:rPr>
        <w:t>In the RAN1#90b, companies agreed to support small-scale padding. This padding could be use</w:t>
      </w:r>
      <w:r w:rsidR="00697EF0">
        <w:rPr>
          <w:lang w:val="en-US"/>
        </w:rPr>
        <w:t>d to align UL and DL DCI format sizes</w:t>
      </w:r>
      <w:r>
        <w:rPr>
          <w:lang w:val="en-US"/>
        </w:rPr>
        <w:t xml:space="preserve">. Or align DCI format sizes scheduling different BWPs. </w:t>
      </w:r>
      <w:r w:rsidR="001168F7">
        <w:rPr>
          <w:lang w:val="en-US"/>
        </w:rPr>
        <w:t>Furthermore,</w:t>
      </w:r>
      <w:r w:rsidR="007F0DB4">
        <w:rPr>
          <w:lang w:val="en-US"/>
        </w:rPr>
        <w:t xml:space="preserve"> to reduce number of BDs, it w</w:t>
      </w:r>
      <w:r w:rsidR="001168F7">
        <w:rPr>
          <w:lang w:val="en-US"/>
        </w:rPr>
        <w:t>ould be beneficial to align DCI format</w:t>
      </w:r>
      <w:r w:rsidR="00697EF0">
        <w:rPr>
          <w:lang w:val="en-US"/>
        </w:rPr>
        <w:t xml:space="preserve"> sizes</w:t>
      </w:r>
      <w:r w:rsidR="001168F7">
        <w:rPr>
          <w:lang w:val="en-US"/>
        </w:rPr>
        <w:t xml:space="preserve"> scheduling slots and mini-slot</w:t>
      </w:r>
      <w:r w:rsidR="007F0DB4">
        <w:rPr>
          <w:lang w:val="en-US"/>
        </w:rPr>
        <w:t>,</w:t>
      </w:r>
      <w:r w:rsidR="001168F7">
        <w:rPr>
          <w:lang w:val="en-US"/>
        </w:rPr>
        <w:t xml:space="preserve"> </w:t>
      </w:r>
      <w:r w:rsidR="007E3E3B">
        <w:rPr>
          <w:lang w:val="en-US"/>
        </w:rPr>
        <w:t>which could have different features configured</w:t>
      </w:r>
      <w:r w:rsidR="007F0DB4">
        <w:rPr>
          <w:lang w:val="en-US"/>
        </w:rPr>
        <w:t xml:space="preserve">. For example, </w:t>
      </w:r>
      <w:r w:rsidR="007E3E3B">
        <w:rPr>
          <w:lang w:val="en-US"/>
        </w:rPr>
        <w:t>slot DCI format could use CBG and 2CWs and</w:t>
      </w:r>
      <w:r w:rsidR="007F0DB4">
        <w:rPr>
          <w:lang w:val="en-US"/>
        </w:rPr>
        <w:t xml:space="preserve"> mini-slot DCI formats could be configured without CBG and 1CW, resulting in large payload difference. </w:t>
      </w:r>
      <w:r w:rsidR="00A40FF5">
        <w:rPr>
          <w:lang w:val="en-US"/>
        </w:rPr>
        <w:t>We n</w:t>
      </w:r>
      <w:r w:rsidR="009E5D06">
        <w:rPr>
          <w:lang w:val="en-US"/>
        </w:rPr>
        <w:t>ote that large</w:t>
      </w:r>
      <w:r w:rsidR="007F0DB4">
        <w:rPr>
          <w:lang w:val="en-US"/>
        </w:rPr>
        <w:t>-</w:t>
      </w:r>
      <w:r w:rsidR="009E5D06">
        <w:rPr>
          <w:lang w:val="en-US"/>
        </w:rPr>
        <w:t xml:space="preserve">scale padding </w:t>
      </w:r>
      <w:r w:rsidR="00A40FF5">
        <w:rPr>
          <w:lang w:val="en-US"/>
        </w:rPr>
        <w:t>results in worse performance (and may result in increase of</w:t>
      </w:r>
      <w:r w:rsidR="00DF14DC">
        <w:rPr>
          <w:lang w:val="en-US"/>
        </w:rPr>
        <w:t xml:space="preserve"> used</w:t>
      </w:r>
      <w:r w:rsidR="00A40FF5">
        <w:rPr>
          <w:lang w:val="en-US"/>
        </w:rPr>
        <w:t xml:space="preserve"> AL)</w:t>
      </w:r>
      <w:r w:rsidR="009E5D06">
        <w:rPr>
          <w:lang w:val="en-US"/>
        </w:rPr>
        <w:t>,</w:t>
      </w:r>
      <w:r w:rsidR="00A40FF5">
        <w:rPr>
          <w:lang w:val="en-US"/>
        </w:rPr>
        <w:t xml:space="preserve"> however if </w:t>
      </w:r>
      <w:r w:rsidR="009E5D06">
        <w:rPr>
          <w:lang w:val="en-US"/>
        </w:rPr>
        <w:t xml:space="preserve">the padding bits can be used </w:t>
      </w:r>
      <w:r w:rsidR="00A40FF5">
        <w:rPr>
          <w:lang w:val="en-US"/>
        </w:rPr>
        <w:t xml:space="preserve">as known information, the loss </w:t>
      </w:r>
      <w:r w:rsidR="00F31ABB">
        <w:rPr>
          <w:lang w:val="en-US"/>
        </w:rPr>
        <w:t>due to</w:t>
      </w:r>
      <w:r w:rsidR="00A40FF5">
        <w:rPr>
          <w:lang w:val="en-US"/>
        </w:rPr>
        <w:t xml:space="preserve"> padding can be reduced as </w:t>
      </w:r>
      <w:r w:rsidR="00F31ABB">
        <w:rPr>
          <w:lang w:val="en-US"/>
        </w:rPr>
        <w:t>shown</w:t>
      </w:r>
      <w:r w:rsidR="00A40FF5">
        <w:rPr>
          <w:lang w:val="en-US"/>
        </w:rPr>
        <w:t xml:space="preserve"> in </w:t>
      </w:r>
      <w:r w:rsidR="00F31ABB">
        <w:rPr>
          <w:highlight w:val="yellow"/>
          <w:lang w:val="en-US"/>
        </w:rPr>
        <w:fldChar w:fldCharType="begin"/>
      </w:r>
      <w:r w:rsidR="00F31ABB">
        <w:rPr>
          <w:lang w:val="en-US"/>
        </w:rPr>
        <w:instrText xml:space="preserve"> REF _Ref498703239 \r \h </w:instrText>
      </w:r>
      <w:r w:rsidR="00F31ABB">
        <w:rPr>
          <w:highlight w:val="yellow"/>
          <w:lang w:val="en-US"/>
        </w:rPr>
      </w:r>
      <w:r w:rsidR="00F31ABB">
        <w:rPr>
          <w:highlight w:val="yellow"/>
          <w:lang w:val="en-US"/>
        </w:rPr>
        <w:fldChar w:fldCharType="separate"/>
      </w:r>
      <w:r w:rsidR="00F31ABB">
        <w:rPr>
          <w:lang w:val="en-US"/>
        </w:rPr>
        <w:t>[1]</w:t>
      </w:r>
      <w:r w:rsidR="00F31ABB">
        <w:rPr>
          <w:highlight w:val="yellow"/>
          <w:lang w:val="en-US"/>
        </w:rPr>
        <w:fldChar w:fldCharType="end"/>
      </w:r>
      <w:r w:rsidR="009E5D06">
        <w:rPr>
          <w:lang w:val="en-US"/>
        </w:rPr>
        <w:t xml:space="preserve">. </w:t>
      </w:r>
      <w:r w:rsidR="00F31ABB">
        <w:rPr>
          <w:lang w:val="en-US"/>
        </w:rPr>
        <w:t>The maximum number of bits that can be padded</w:t>
      </w:r>
      <w:r w:rsidR="007F0DB4">
        <w:rPr>
          <w:lang w:val="en-US"/>
        </w:rPr>
        <w:t xml:space="preserve"> </w:t>
      </w:r>
      <w:r w:rsidR="007F0DB4" w:rsidRPr="007F0DB4">
        <w:rPr>
          <w:i/>
          <w:sz w:val="22"/>
          <w:szCs w:val="22"/>
        </w:rPr>
        <w:t>P</w:t>
      </w:r>
      <w:r w:rsidR="007F0DB4" w:rsidRPr="007F0DB4">
        <w:rPr>
          <w:i/>
          <w:sz w:val="22"/>
          <w:szCs w:val="22"/>
          <w:vertAlign w:val="subscript"/>
        </w:rPr>
        <w:t>max</w:t>
      </w:r>
      <w:r w:rsidR="00F31ABB">
        <w:rPr>
          <w:lang w:val="en-US"/>
        </w:rPr>
        <w:t xml:space="preserve"> depends on the payload of the padded DCI format, the </w:t>
      </w:r>
      <w:r w:rsidR="007F0DB4" w:rsidRPr="007F0DB4">
        <w:rPr>
          <w:i/>
          <w:sz w:val="22"/>
          <w:szCs w:val="22"/>
        </w:rPr>
        <w:t>P</w:t>
      </w:r>
      <w:r w:rsidR="007F0DB4" w:rsidRPr="007F0DB4">
        <w:rPr>
          <w:i/>
          <w:sz w:val="22"/>
          <w:szCs w:val="22"/>
          <w:vertAlign w:val="subscript"/>
        </w:rPr>
        <w:t>max</w:t>
      </w:r>
      <w:r w:rsidR="00F31ABB">
        <w:rPr>
          <w:lang w:val="en-US"/>
        </w:rPr>
        <w:t xml:space="preserve"> should be </w:t>
      </w:r>
      <w:r w:rsidR="007F0DB4">
        <w:rPr>
          <w:lang w:val="en-US"/>
        </w:rPr>
        <w:t>decided in coding session.</w:t>
      </w:r>
      <w:r w:rsidR="009E5D06">
        <w:rPr>
          <w:lang w:val="en-US"/>
        </w:rPr>
        <w:t xml:space="preserve">   </w:t>
      </w:r>
      <w:r w:rsidR="00A40FF5">
        <w:rPr>
          <w:lang w:val="en-US"/>
        </w:rPr>
        <w:t xml:space="preserve"> </w:t>
      </w:r>
    </w:p>
    <w:p w14:paraId="487E3D5A" w14:textId="2E047C77" w:rsidR="009E5D06" w:rsidRDefault="009E5D06" w:rsidP="00C643EA">
      <w:pPr>
        <w:spacing w:after="0"/>
        <w:rPr>
          <w:lang w:val="en-US"/>
        </w:rPr>
      </w:pPr>
    </w:p>
    <w:p w14:paraId="48B97AE2" w14:textId="565588D4" w:rsidR="00F31ABB" w:rsidRPr="00F31ABB" w:rsidRDefault="00A40FF5" w:rsidP="00F31ABB">
      <w:pPr>
        <w:overflowPunct/>
        <w:autoSpaceDE/>
        <w:autoSpaceDN/>
        <w:adjustRightInd/>
        <w:spacing w:after="0"/>
        <w:textAlignment w:val="auto"/>
        <w:rPr>
          <w:b/>
          <w:sz w:val="22"/>
          <w:szCs w:val="22"/>
        </w:rPr>
      </w:pPr>
      <w:r w:rsidRPr="00F31ABB">
        <w:rPr>
          <w:b/>
          <w:sz w:val="22"/>
          <w:szCs w:val="22"/>
          <w:lang w:val="en-US"/>
        </w:rPr>
        <w:t>Proposal-</w:t>
      </w:r>
      <w:r w:rsidR="00DF14DC" w:rsidRPr="00F31ABB">
        <w:rPr>
          <w:b/>
          <w:sz w:val="22"/>
          <w:szCs w:val="22"/>
          <w:lang w:val="en-US"/>
        </w:rPr>
        <w:t>1</w:t>
      </w:r>
      <w:r w:rsidRPr="00F31ABB">
        <w:rPr>
          <w:b/>
          <w:sz w:val="22"/>
          <w:szCs w:val="22"/>
          <w:lang w:val="en-US"/>
        </w:rPr>
        <w:t>:</w:t>
      </w:r>
      <w:r w:rsidR="007D557B" w:rsidRPr="00F31ABB">
        <w:rPr>
          <w:b/>
          <w:sz w:val="22"/>
          <w:szCs w:val="22"/>
          <w:lang w:val="en-US"/>
        </w:rPr>
        <w:t xml:space="preserve"> </w:t>
      </w:r>
      <w:r w:rsidR="007D557B" w:rsidRPr="00F31ABB">
        <w:rPr>
          <w:b/>
          <w:sz w:val="22"/>
          <w:szCs w:val="22"/>
        </w:rPr>
        <w:t>A</w:t>
      </w:r>
      <w:r w:rsidR="00ED35EA" w:rsidRPr="00F31ABB">
        <w:rPr>
          <w:b/>
          <w:sz w:val="22"/>
          <w:szCs w:val="22"/>
        </w:rPr>
        <w:t xml:space="preserve"> </w:t>
      </w:r>
      <w:r w:rsidR="007D557B" w:rsidRPr="00F31ABB">
        <w:rPr>
          <w:b/>
          <w:sz w:val="22"/>
          <w:szCs w:val="22"/>
        </w:rPr>
        <w:t>DCI format</w:t>
      </w:r>
      <w:r w:rsidR="00ED35EA" w:rsidRPr="00F31ABB">
        <w:rPr>
          <w:b/>
          <w:sz w:val="22"/>
          <w:szCs w:val="22"/>
        </w:rPr>
        <w:t xml:space="preserve"> </w:t>
      </w:r>
      <w:r w:rsidR="007D557B" w:rsidRPr="00F31ABB">
        <w:rPr>
          <w:b/>
          <w:sz w:val="22"/>
          <w:szCs w:val="22"/>
        </w:rPr>
        <w:t>can be configured</w:t>
      </w:r>
      <w:r w:rsidR="00F31ABB">
        <w:rPr>
          <w:b/>
          <w:sz w:val="22"/>
          <w:szCs w:val="22"/>
        </w:rPr>
        <w:t xml:space="preserve"> with</w:t>
      </w:r>
      <w:r w:rsidR="007D557B" w:rsidRPr="00F31ABB">
        <w:rPr>
          <w:b/>
          <w:sz w:val="22"/>
          <w:szCs w:val="22"/>
        </w:rPr>
        <w:t xml:space="preserve"> up to </w:t>
      </w:r>
      <w:r w:rsidR="00F31ABB" w:rsidRPr="00F31ABB">
        <w:rPr>
          <w:b/>
          <w:i/>
          <w:sz w:val="22"/>
          <w:szCs w:val="22"/>
        </w:rPr>
        <w:t>P</w:t>
      </w:r>
      <w:r w:rsidR="00F31ABB" w:rsidRPr="00F31ABB">
        <w:rPr>
          <w:b/>
          <w:i/>
          <w:sz w:val="22"/>
          <w:szCs w:val="22"/>
          <w:vertAlign w:val="subscript"/>
        </w:rPr>
        <w:t>max</w:t>
      </w:r>
      <w:r w:rsidR="007D557B" w:rsidRPr="00F31ABB">
        <w:rPr>
          <w:b/>
          <w:sz w:val="22"/>
          <w:szCs w:val="22"/>
        </w:rPr>
        <w:t xml:space="preserve"> padding bit</w:t>
      </w:r>
      <w:r w:rsidR="008072EA" w:rsidRPr="00F31ABB">
        <w:rPr>
          <w:b/>
          <w:sz w:val="22"/>
          <w:szCs w:val="22"/>
        </w:rPr>
        <w:t>s</w:t>
      </w:r>
      <w:r w:rsidR="007D557B" w:rsidRPr="00F31ABB">
        <w:rPr>
          <w:b/>
          <w:sz w:val="22"/>
          <w:szCs w:val="22"/>
        </w:rPr>
        <w:t xml:space="preserve">. </w:t>
      </w:r>
      <w:r w:rsidR="00F31ABB" w:rsidRPr="00F31ABB">
        <w:rPr>
          <w:b/>
          <w:sz w:val="22"/>
          <w:szCs w:val="22"/>
          <w:lang w:val="en-US"/>
        </w:rPr>
        <w:t xml:space="preserve">FFS </w:t>
      </w:r>
      <w:r w:rsidR="00F31ABB" w:rsidRPr="00F31ABB">
        <w:rPr>
          <w:b/>
          <w:i/>
          <w:sz w:val="22"/>
          <w:szCs w:val="22"/>
          <w:lang w:val="en-US"/>
        </w:rPr>
        <w:t>P</w:t>
      </w:r>
      <w:r w:rsidR="00F31ABB" w:rsidRPr="00F31ABB">
        <w:rPr>
          <w:b/>
          <w:i/>
          <w:sz w:val="22"/>
          <w:szCs w:val="22"/>
          <w:vertAlign w:val="subscript"/>
          <w:lang w:val="en-US"/>
        </w:rPr>
        <w:t>max</w:t>
      </w:r>
    </w:p>
    <w:p w14:paraId="7D27A1BE" w14:textId="74BD377C" w:rsidR="009E5D06" w:rsidRPr="00A40FF5" w:rsidRDefault="009E5D06" w:rsidP="00C643EA">
      <w:pPr>
        <w:spacing w:after="0"/>
      </w:pPr>
    </w:p>
    <w:p w14:paraId="026A5AD6" w14:textId="452B6CCE" w:rsidR="009E5D06" w:rsidRDefault="009E5D06" w:rsidP="00C643EA">
      <w:pPr>
        <w:spacing w:after="0"/>
        <w:rPr>
          <w:lang w:val="en-US"/>
        </w:rPr>
      </w:pPr>
    </w:p>
    <w:p w14:paraId="05791612" w14:textId="77777777" w:rsidR="009E5D06" w:rsidRDefault="009E5D06" w:rsidP="00C643EA">
      <w:pPr>
        <w:spacing w:after="0"/>
        <w:rPr>
          <w:lang w:val="en-US"/>
        </w:rPr>
      </w:pPr>
    </w:p>
    <w:p w14:paraId="376C90D6" w14:textId="7C4BEF3C" w:rsidR="00AC4C10" w:rsidRDefault="00363BEE" w:rsidP="00AC4C10">
      <w:pPr>
        <w:pStyle w:val="Heading1"/>
        <w:rPr>
          <w:color w:val="000000"/>
        </w:rPr>
      </w:pPr>
      <w:r>
        <w:rPr>
          <w:color w:val="000000"/>
        </w:rPr>
        <w:lastRenderedPageBreak/>
        <w:t>3</w:t>
      </w:r>
      <w:r w:rsidR="00AC4C10" w:rsidRPr="00A51522">
        <w:rPr>
          <w:color w:val="000000"/>
        </w:rPr>
        <w:tab/>
      </w:r>
      <w:r w:rsidR="00AC4C10">
        <w:rPr>
          <w:color w:val="000000"/>
        </w:rPr>
        <w:t>Fallback DCI</w:t>
      </w:r>
      <w:r w:rsidR="00ED35EA">
        <w:rPr>
          <w:color w:val="000000"/>
        </w:rPr>
        <w:t xml:space="preserve"> format</w:t>
      </w:r>
      <w:r w:rsidR="00DF14DC">
        <w:rPr>
          <w:color w:val="000000"/>
        </w:rPr>
        <w:t xml:space="preserve"> design</w:t>
      </w:r>
    </w:p>
    <w:p w14:paraId="59545F73" w14:textId="2AED353A" w:rsidR="00771799" w:rsidRDefault="00AC4C10" w:rsidP="00687488">
      <w:r w:rsidRPr="00AC4C10">
        <w:t>The</w:t>
      </w:r>
      <w:r>
        <w:t xml:space="preserve"> fall-back DCI</w:t>
      </w:r>
      <w:r w:rsidR="00DF14DC">
        <w:t xml:space="preserve"> format</w:t>
      </w:r>
      <w:r w:rsidR="008A4229">
        <w:t xml:space="preserve"> is needed whenever the DCI fields in general DCI format are re</w:t>
      </w:r>
      <w:r w:rsidR="00A921EE">
        <w:t>/</w:t>
      </w:r>
      <w:r w:rsidR="008A4229">
        <w:t xml:space="preserve">configured. Therefore, gNB should be </w:t>
      </w:r>
      <w:r w:rsidR="00DF14DC">
        <w:t>allowed</w:t>
      </w:r>
      <w:r w:rsidR="008A4229">
        <w:t xml:space="preserve"> to </w:t>
      </w:r>
      <w:r w:rsidR="00771799">
        <w:t>transmit</w:t>
      </w:r>
      <w:r w:rsidR="008A4229">
        <w:t xml:space="preserve"> the fall-back DCI</w:t>
      </w:r>
      <w:r>
        <w:t xml:space="preserve"> on any USS and CSS</w:t>
      </w:r>
      <w:r w:rsidR="00FA0800">
        <w:t xml:space="preserve"> </w:t>
      </w:r>
      <w:r w:rsidR="008A4229">
        <w:t>(</w:t>
      </w:r>
      <w:r>
        <w:t>if present in the BWP</w:t>
      </w:r>
      <w:r w:rsidR="008A4229">
        <w:t>)</w:t>
      </w:r>
      <w:r w:rsidR="00DF14DC">
        <w:t xml:space="preserve"> of a BWP </w:t>
      </w:r>
      <w:r w:rsidR="00FA0800">
        <w:t>to avoid unnecessary retune to initial BWP</w:t>
      </w:r>
      <w:r>
        <w:t xml:space="preserve">. </w:t>
      </w:r>
      <w:r w:rsidR="00926019">
        <w:t>The size of RA field</w:t>
      </w:r>
      <w:r w:rsidR="008A4229">
        <w:t xml:space="preserve"> </w:t>
      </w:r>
      <w:r w:rsidR="00FA0800">
        <w:t xml:space="preserve">in fall-back DCI format </w:t>
      </w:r>
      <w:r w:rsidR="008A4229">
        <w:t>should</w:t>
      </w:r>
      <w:r w:rsidR="00926019">
        <w:t xml:space="preserve"> </w:t>
      </w:r>
      <w:r w:rsidR="008A4229">
        <w:t>depend</w:t>
      </w:r>
      <w:r w:rsidR="00926019">
        <w:t xml:space="preserve"> on BWP size</w:t>
      </w:r>
      <w:r w:rsidR="00FA0800">
        <w:t xml:space="preserve"> where the fall-back DCI format has been transmitted</w:t>
      </w:r>
      <w:r w:rsidR="00DF14DC">
        <w:t>, this to ensure compactness of the DCI format</w:t>
      </w:r>
      <w:r w:rsidR="00FA0800">
        <w:t>.</w:t>
      </w:r>
      <w:r w:rsidR="00926019">
        <w:t xml:space="preserve"> </w:t>
      </w:r>
      <w:r w:rsidR="008A4229">
        <w:t>The size of BWP is known to UE, either by MIB</w:t>
      </w:r>
      <w:r w:rsidR="00DF14DC">
        <w:t>/RMSI</w:t>
      </w:r>
      <w:r w:rsidR="008A4229">
        <w:t xml:space="preserve"> configuration (in case of initial BWP) or</w:t>
      </w:r>
      <w:r w:rsidR="00DF14DC">
        <w:t xml:space="preserve"> by</w:t>
      </w:r>
      <w:r w:rsidR="008A4229">
        <w:t xml:space="preserve"> dedicated RRC. </w:t>
      </w:r>
      <w:r w:rsidR="00FF1503">
        <w:t xml:space="preserve">The fall-back DCI would not need to support cross-BWP scheduling (i.e. no BWPI present). </w:t>
      </w:r>
      <w:r w:rsidR="008A4229">
        <w:t xml:space="preserve">If gNB reconfigures the dedicated BWPs, it </w:t>
      </w:r>
      <w:r w:rsidR="00FA0800">
        <w:t>has to</w:t>
      </w:r>
      <w:r w:rsidR="008A4229">
        <w:t xml:space="preserve"> switch UE</w:t>
      </w:r>
      <w:r w:rsidR="00BD23FB">
        <w:t xml:space="preserve">’s </w:t>
      </w:r>
      <w:r w:rsidR="00FA0800">
        <w:t>U</w:t>
      </w:r>
      <w:r w:rsidR="00BD23FB">
        <w:t>L</w:t>
      </w:r>
      <w:r w:rsidR="00FA0800">
        <w:t xml:space="preserve"> and</w:t>
      </w:r>
      <w:r w:rsidR="00DF14DC">
        <w:t>/or</w:t>
      </w:r>
      <w:r w:rsidR="00FA0800">
        <w:t xml:space="preserve"> DL BWPs</w:t>
      </w:r>
      <w:r w:rsidR="008A4229">
        <w:t xml:space="preserve"> to initial BWP.  </w:t>
      </w:r>
    </w:p>
    <w:p w14:paraId="1E4AB94E" w14:textId="2525D444" w:rsidR="00926019" w:rsidRPr="00926019" w:rsidRDefault="00926019" w:rsidP="00926019">
      <w:pPr>
        <w:spacing w:after="0"/>
        <w:rPr>
          <w:b/>
        </w:rPr>
      </w:pPr>
      <w:r w:rsidRPr="00926019">
        <w:rPr>
          <w:b/>
        </w:rPr>
        <w:t>Proposal</w:t>
      </w:r>
      <w:r>
        <w:rPr>
          <w:b/>
        </w:rPr>
        <w:t>-</w:t>
      </w:r>
      <w:r w:rsidR="00515C45">
        <w:rPr>
          <w:b/>
        </w:rPr>
        <w:t>1</w:t>
      </w:r>
      <w:r w:rsidRPr="00926019">
        <w:rPr>
          <w:b/>
        </w:rPr>
        <w:t xml:space="preserve">: </w:t>
      </w:r>
      <w:r w:rsidR="00DF14DC">
        <w:rPr>
          <w:b/>
        </w:rPr>
        <w:t>A f</w:t>
      </w:r>
      <w:r w:rsidRPr="00926019">
        <w:rPr>
          <w:b/>
        </w:rPr>
        <w:t xml:space="preserve">all-back DCI </w:t>
      </w:r>
      <w:r w:rsidR="00DF14DC">
        <w:rPr>
          <w:b/>
        </w:rPr>
        <w:t>format</w:t>
      </w:r>
    </w:p>
    <w:p w14:paraId="0EC9FF23" w14:textId="36F432AC" w:rsidR="00926019" w:rsidRPr="00FA0800" w:rsidRDefault="00FA0800" w:rsidP="00926019">
      <w:pPr>
        <w:pStyle w:val="ListParagraph"/>
        <w:numPr>
          <w:ilvl w:val="0"/>
          <w:numId w:val="22"/>
        </w:numPr>
        <w:rPr>
          <w:b/>
          <w:sz w:val="20"/>
          <w:szCs w:val="20"/>
          <w:lang w:val="en-US"/>
        </w:rPr>
      </w:pPr>
      <w:r>
        <w:rPr>
          <w:b/>
          <w:sz w:val="20"/>
          <w:szCs w:val="20"/>
          <w:lang w:val="en-GB"/>
        </w:rPr>
        <w:t>can</w:t>
      </w:r>
      <w:r w:rsidR="00926019">
        <w:rPr>
          <w:b/>
          <w:sz w:val="20"/>
          <w:szCs w:val="20"/>
          <w:lang w:val="en-US"/>
        </w:rPr>
        <w:t xml:space="preserve"> be </w:t>
      </w:r>
      <w:r>
        <w:rPr>
          <w:b/>
          <w:sz w:val="20"/>
          <w:szCs w:val="20"/>
          <w:lang w:val="en-US"/>
        </w:rPr>
        <w:t>transmitted</w:t>
      </w:r>
      <w:r w:rsidR="00926019" w:rsidRPr="00926019">
        <w:rPr>
          <w:b/>
          <w:sz w:val="20"/>
          <w:szCs w:val="20"/>
          <w:lang w:val="en-US"/>
        </w:rPr>
        <w:t xml:space="preserve"> on any BWP and any USS or CCS. </w:t>
      </w:r>
    </w:p>
    <w:p w14:paraId="20E33FF8" w14:textId="77777777" w:rsidR="00926019" w:rsidRPr="00926019" w:rsidRDefault="00926019" w:rsidP="00926019">
      <w:pPr>
        <w:pStyle w:val="ListParagraph"/>
        <w:numPr>
          <w:ilvl w:val="0"/>
          <w:numId w:val="22"/>
        </w:numPr>
        <w:rPr>
          <w:b/>
          <w:sz w:val="20"/>
          <w:szCs w:val="20"/>
          <w:lang w:val="en-US"/>
        </w:rPr>
      </w:pPr>
      <w:r w:rsidRPr="00926019">
        <w:rPr>
          <w:b/>
          <w:sz w:val="20"/>
          <w:szCs w:val="20"/>
          <w:lang w:val="en-US"/>
        </w:rPr>
        <w:t>does not support cross-BWP scheduling</w:t>
      </w:r>
    </w:p>
    <w:p w14:paraId="4DC8A862" w14:textId="4AD26E91" w:rsidR="00AC4C10" w:rsidRDefault="00FF1503" w:rsidP="00926019">
      <w:pPr>
        <w:pStyle w:val="ListParagraph"/>
        <w:numPr>
          <w:ilvl w:val="0"/>
          <w:numId w:val="22"/>
        </w:numPr>
        <w:rPr>
          <w:b/>
          <w:sz w:val="20"/>
          <w:szCs w:val="20"/>
          <w:lang w:val="en-US"/>
        </w:rPr>
      </w:pPr>
      <w:r>
        <w:rPr>
          <w:b/>
          <w:sz w:val="20"/>
          <w:szCs w:val="20"/>
          <w:lang w:val="en-US"/>
        </w:rPr>
        <w:t xml:space="preserve">contains </w:t>
      </w:r>
      <w:r w:rsidR="00FA0800" w:rsidRPr="008A4229">
        <w:rPr>
          <w:b/>
          <w:sz w:val="20"/>
          <w:szCs w:val="20"/>
          <w:lang w:val="en-US"/>
        </w:rPr>
        <w:t>R</w:t>
      </w:r>
      <w:r>
        <w:rPr>
          <w:b/>
          <w:sz w:val="20"/>
          <w:szCs w:val="20"/>
          <w:lang w:val="en-US"/>
        </w:rPr>
        <w:t>A field of size which depends</w:t>
      </w:r>
      <w:r w:rsidR="00FA0800" w:rsidRPr="00FA0800">
        <w:rPr>
          <w:b/>
          <w:sz w:val="20"/>
          <w:szCs w:val="20"/>
          <w:lang w:val="en-US"/>
        </w:rPr>
        <w:t xml:space="preserve"> on the size of </w:t>
      </w:r>
      <w:r>
        <w:rPr>
          <w:b/>
          <w:sz w:val="20"/>
          <w:szCs w:val="20"/>
          <w:lang w:val="en-US"/>
        </w:rPr>
        <w:t>the</w:t>
      </w:r>
      <w:r w:rsidR="00515C45">
        <w:rPr>
          <w:b/>
          <w:sz w:val="20"/>
          <w:szCs w:val="20"/>
          <w:lang w:val="en-US"/>
        </w:rPr>
        <w:t xml:space="preserve"> </w:t>
      </w:r>
      <w:r w:rsidR="00FA0800" w:rsidRPr="00FA0800">
        <w:rPr>
          <w:b/>
          <w:sz w:val="20"/>
          <w:szCs w:val="20"/>
          <w:lang w:val="en-US"/>
        </w:rPr>
        <w:t>BWP</w:t>
      </w:r>
      <w:r w:rsidR="00FA0800">
        <w:rPr>
          <w:b/>
          <w:sz w:val="20"/>
          <w:szCs w:val="20"/>
          <w:lang w:val="en-US"/>
        </w:rPr>
        <w:t>, on which</w:t>
      </w:r>
      <w:r w:rsidR="00926019">
        <w:rPr>
          <w:b/>
          <w:sz w:val="20"/>
          <w:szCs w:val="20"/>
          <w:lang w:val="en-US"/>
        </w:rPr>
        <w:t xml:space="preserve"> </w:t>
      </w:r>
      <w:r>
        <w:rPr>
          <w:b/>
          <w:sz w:val="20"/>
          <w:szCs w:val="20"/>
          <w:lang w:val="en-US"/>
        </w:rPr>
        <w:t xml:space="preserve">the </w:t>
      </w:r>
      <w:r w:rsidR="00FA0800">
        <w:rPr>
          <w:b/>
          <w:sz w:val="20"/>
          <w:szCs w:val="20"/>
          <w:lang w:val="en-US"/>
        </w:rPr>
        <w:t xml:space="preserve">fall-back DCI </w:t>
      </w:r>
      <w:r w:rsidR="00926019">
        <w:rPr>
          <w:b/>
          <w:sz w:val="20"/>
          <w:szCs w:val="20"/>
          <w:lang w:val="en-US"/>
        </w:rPr>
        <w:t xml:space="preserve">was </w:t>
      </w:r>
      <w:r w:rsidR="00FA0800">
        <w:rPr>
          <w:b/>
          <w:sz w:val="20"/>
          <w:szCs w:val="20"/>
          <w:lang w:val="en-US"/>
        </w:rPr>
        <w:t>transmitted</w:t>
      </w:r>
      <w:r w:rsidR="00771799" w:rsidRPr="00926019">
        <w:rPr>
          <w:b/>
          <w:sz w:val="20"/>
          <w:szCs w:val="20"/>
          <w:lang w:val="en-US"/>
        </w:rPr>
        <w:t xml:space="preserve"> </w:t>
      </w:r>
    </w:p>
    <w:p w14:paraId="4E37D929" w14:textId="2830E366" w:rsidR="00926019" w:rsidRDefault="00926019" w:rsidP="00926019">
      <w:pPr>
        <w:rPr>
          <w:b/>
          <w:lang w:val="en-US"/>
        </w:rPr>
      </w:pPr>
    </w:p>
    <w:p w14:paraId="4EF37294" w14:textId="4F6DD45F" w:rsidR="004136EC" w:rsidRDefault="00363BEE" w:rsidP="004136EC">
      <w:pPr>
        <w:pStyle w:val="Heading1"/>
        <w:rPr>
          <w:color w:val="000000"/>
        </w:rPr>
      </w:pPr>
      <w:r>
        <w:rPr>
          <w:color w:val="000000"/>
        </w:rPr>
        <w:t>4</w:t>
      </w:r>
      <w:r w:rsidR="004136EC" w:rsidRPr="00A51522">
        <w:rPr>
          <w:color w:val="000000"/>
        </w:rPr>
        <w:tab/>
      </w:r>
      <w:r w:rsidR="00ED35EA">
        <w:rPr>
          <w:color w:val="000000"/>
        </w:rPr>
        <w:t>General DCI format</w:t>
      </w:r>
      <w:r w:rsidR="008072EA">
        <w:rPr>
          <w:color w:val="000000"/>
        </w:rPr>
        <w:t xml:space="preserve"> design</w:t>
      </w:r>
    </w:p>
    <w:p w14:paraId="752D3C8F" w14:textId="4BA6F7F4" w:rsidR="00F94B6A" w:rsidRPr="005A5E89" w:rsidRDefault="00376D50" w:rsidP="005A5E89">
      <w:pPr>
        <w:jc w:val="both"/>
        <w:rPr>
          <w:lang w:val="en-US"/>
        </w:rPr>
      </w:pPr>
      <w:r>
        <w:t xml:space="preserve">The size of the </w:t>
      </w:r>
      <w:r w:rsidR="005A5E89">
        <w:t xml:space="preserve">general DCI </w:t>
      </w:r>
      <w:r w:rsidR="005A5E89" w:rsidRPr="005A5E89">
        <w:t>format</w:t>
      </w:r>
      <w:r>
        <w:t>, supporting cross-BWP scheduling</w:t>
      </w:r>
      <w:r>
        <w:rPr>
          <w:lang w:val="en-US"/>
        </w:rPr>
        <w:t>, should not depend on value of BWPI, this reducing</w:t>
      </w:r>
      <w:r w:rsidR="00F94B6A" w:rsidRPr="00376D50">
        <w:rPr>
          <w:lang w:val="en-US"/>
        </w:rPr>
        <w:t xml:space="preserve"> the number of required BDs. </w:t>
      </w:r>
      <w:r w:rsidR="00F94B6A" w:rsidRPr="005A5E89">
        <w:rPr>
          <w:lang w:val="en-US"/>
        </w:rPr>
        <w:t>The only question is whether the RA field size</w:t>
      </w:r>
      <w:r>
        <w:rPr>
          <w:lang w:val="en-US"/>
        </w:rPr>
        <w:t xml:space="preserve"> in general DCI format</w:t>
      </w:r>
      <w:r w:rsidR="00F94B6A" w:rsidRPr="005A5E89">
        <w:rPr>
          <w:lang w:val="en-US"/>
        </w:rPr>
        <w:t xml:space="preserve"> is</w:t>
      </w:r>
      <w:r w:rsidR="00B234E6">
        <w:rPr>
          <w:lang w:val="en-US"/>
        </w:rPr>
        <w:t xml:space="preserve"> the</w:t>
      </w:r>
      <w:r w:rsidR="00F94B6A" w:rsidRPr="005A5E89">
        <w:rPr>
          <w:lang w:val="en-US"/>
        </w:rPr>
        <w:t xml:space="preserve"> same or different </w:t>
      </w:r>
      <w:r>
        <w:rPr>
          <w:lang w:val="en-US"/>
        </w:rPr>
        <w:t>when transmitted on</w:t>
      </w:r>
      <w:r w:rsidR="00F94B6A" w:rsidRPr="005A5E89">
        <w:rPr>
          <w:lang w:val="en-US"/>
        </w:rPr>
        <w:t xml:space="preserve"> different BWPs</w:t>
      </w:r>
      <w:r w:rsidR="005A5E89">
        <w:rPr>
          <w:lang w:val="en-US"/>
        </w:rPr>
        <w:t xml:space="preserve">. </w:t>
      </w:r>
      <w:r w:rsidR="00F94B6A" w:rsidRPr="005A5E89">
        <w:t xml:space="preserve">For the </w:t>
      </w:r>
      <w:r w:rsidR="005A5E89">
        <w:t>BWP use-</w:t>
      </w:r>
      <w:r w:rsidR="00F94B6A" w:rsidRPr="005A5E89">
        <w:t>case of UE</w:t>
      </w:r>
      <w:r w:rsidR="00B234E6">
        <w:t>s</w:t>
      </w:r>
      <w:r w:rsidR="00F94B6A" w:rsidRPr="005A5E89">
        <w:t xml:space="preserve"> with limited capability, the </w:t>
      </w:r>
      <w:r w:rsidR="005A5E89">
        <w:t>RA-fi</w:t>
      </w:r>
      <w:r w:rsidR="00F94B6A" w:rsidRPr="005A5E89">
        <w:t>e</w:t>
      </w:r>
      <w:r w:rsidR="005A5E89">
        <w:t>l</w:t>
      </w:r>
      <w:r w:rsidR="00F94B6A" w:rsidRPr="005A5E89">
        <w:t>d</w:t>
      </w:r>
      <w:r w:rsidR="00F94B6A">
        <w:t xml:space="preserve"> should</w:t>
      </w:r>
      <w:r w:rsidR="00F94B6A" w:rsidRPr="00F94B6A">
        <w:t xml:space="preserve"> be </w:t>
      </w:r>
      <w:r w:rsidR="00F94B6A">
        <w:t xml:space="preserve">roughly the </w:t>
      </w:r>
      <w:r w:rsidR="00F94B6A" w:rsidRPr="00F94B6A">
        <w:t>same</w:t>
      </w:r>
      <w:r w:rsidR="005A5E89">
        <w:t>,</w:t>
      </w:r>
      <w:r w:rsidR="00F94B6A" w:rsidRPr="00F94B6A">
        <w:t xml:space="preserve"> as the UE would </w:t>
      </w:r>
      <w:r w:rsidR="005A5E89">
        <w:t>be typically configure</w:t>
      </w:r>
      <w:r w:rsidR="00B234E6">
        <w:t>d</w:t>
      </w:r>
      <w:r w:rsidR="005A5E89">
        <w:t xml:space="preserve"> with</w:t>
      </w:r>
      <w:r w:rsidR="00F94B6A" w:rsidRPr="00F94B6A">
        <w:t xml:space="preserve"> non-overlapping BWPs, being </w:t>
      </w:r>
      <w:r w:rsidR="00B234E6">
        <w:t xml:space="preserve">equal </w:t>
      </w:r>
      <w:r w:rsidR="00F94B6A" w:rsidRPr="00F94B6A">
        <w:t>sub</w:t>
      </w:r>
      <w:r w:rsidR="00B234E6">
        <w:t>-</w:t>
      </w:r>
      <w:r w:rsidR="00F94B6A" w:rsidRPr="00F94B6A">
        <w:t xml:space="preserve">bands of </w:t>
      </w:r>
      <w:r>
        <w:t xml:space="preserve">a </w:t>
      </w:r>
      <w:r w:rsidR="00F94B6A" w:rsidRPr="00F94B6A">
        <w:t xml:space="preserve">wideband network carrier. For the power saving </w:t>
      </w:r>
      <w:r w:rsidR="005A5E89">
        <w:t xml:space="preserve">BWP </w:t>
      </w:r>
      <w:r w:rsidR="00F94B6A" w:rsidRPr="00F94B6A">
        <w:t xml:space="preserve">use-case, there are two options </w:t>
      </w:r>
    </w:p>
    <w:p w14:paraId="33C56D19" w14:textId="77777777" w:rsidR="00697EF0" w:rsidRPr="00697EF0" w:rsidRDefault="00697EF0" w:rsidP="00697EF0">
      <w:pPr>
        <w:pStyle w:val="ListParagraph"/>
        <w:numPr>
          <w:ilvl w:val="0"/>
          <w:numId w:val="26"/>
        </w:numPr>
        <w:rPr>
          <w:sz w:val="20"/>
          <w:szCs w:val="20"/>
          <w:lang w:val="en-US"/>
        </w:rPr>
      </w:pPr>
      <w:r w:rsidRPr="00697EF0">
        <w:rPr>
          <w:sz w:val="20"/>
          <w:szCs w:val="20"/>
          <w:lang w:val="en-US"/>
        </w:rPr>
        <w:t xml:space="preserve">Alt1: The RA field in DCI is corresponding to the largest required RA-field size across the configured BWPs. </w:t>
      </w:r>
    </w:p>
    <w:p w14:paraId="37F73645" w14:textId="560538E4" w:rsidR="00697EF0" w:rsidRDefault="00697EF0" w:rsidP="00697EF0">
      <w:pPr>
        <w:pStyle w:val="ListParagraph"/>
        <w:numPr>
          <w:ilvl w:val="0"/>
          <w:numId w:val="26"/>
        </w:numPr>
        <w:rPr>
          <w:sz w:val="20"/>
          <w:szCs w:val="20"/>
          <w:lang w:val="en-US"/>
        </w:rPr>
      </w:pPr>
      <w:r w:rsidRPr="00697EF0">
        <w:rPr>
          <w:sz w:val="20"/>
          <w:szCs w:val="20"/>
          <w:lang w:val="en-US"/>
        </w:rPr>
        <w:t>Alt2: The RA field in DCI is determined by the required RA-field size of the BWP where the DCI is transmitted.</w:t>
      </w:r>
    </w:p>
    <w:p w14:paraId="21646F54" w14:textId="77777777" w:rsidR="00697EF0" w:rsidRPr="00697EF0" w:rsidRDefault="00697EF0" w:rsidP="00697EF0">
      <w:pPr>
        <w:pStyle w:val="ListParagraph"/>
        <w:rPr>
          <w:sz w:val="20"/>
          <w:szCs w:val="20"/>
          <w:lang w:val="en-US"/>
        </w:rPr>
      </w:pPr>
    </w:p>
    <w:p w14:paraId="4C6E6543" w14:textId="15D99C8B" w:rsidR="00697EF0" w:rsidRDefault="00697EF0" w:rsidP="00697EF0">
      <w:r>
        <w:t xml:space="preserve">The Alt 1 has two advantages. Firstly, the UE can be scheduled always in the full band of BWP by means of cross-BWP scheduling. The gNB may align CORESETs of narrow BWP and wide BWP, this enables the reliable BWP switching between narrow and wide BWP. The one disadvantage is that the DCI formats on the narrow BWP would be a little bit larger, but since wide BWP has large RBG size and narrow BWP has small RBG size, the difference will not be significant. For example, according our proposal on RBG sizes in NR </w:t>
      </w:r>
      <w:r>
        <w:fldChar w:fldCharType="begin"/>
      </w:r>
      <w:r>
        <w:instrText xml:space="preserve"> REF _Ref498705957 \r \h </w:instrText>
      </w:r>
      <w:r>
        <w:fldChar w:fldCharType="separate"/>
      </w:r>
      <w:r>
        <w:t>[2]</w:t>
      </w:r>
      <w:r>
        <w:fldChar w:fldCharType="end"/>
      </w:r>
      <w:r>
        <w:t>, in the extreme case, if narrowest BWP would be 25 PRBs (5Mhz) with RBG=2 (Config 1) and the widest BW would be 270RB (50MHz) with RBG=16 (Config 2). Then the narrowest BWP would require 13bits for bitmap and the largest BW would require 17bits, which is relatively small difference, and performance due to padding would be negligible.</w:t>
      </w:r>
    </w:p>
    <w:p w14:paraId="176032C3" w14:textId="587468AE" w:rsidR="00F25F60" w:rsidRPr="00697EF0" w:rsidRDefault="00697EF0" w:rsidP="00697EF0">
      <w:pPr>
        <w:rPr>
          <w:b/>
        </w:rPr>
      </w:pPr>
      <w:r w:rsidRPr="00697EF0">
        <w:rPr>
          <w:b/>
        </w:rPr>
        <w:t xml:space="preserve">Proposal-2: The RA field in general scheduling DCI format is determined by the largest required RA-field size across the configured BWPs (Alt 1), DL BWPs for a DL assignment and UL BWPs for a UL grant. If the number of bits X required for scheduling the BWP is smaller than RA field size in scheduling DCI, the UE extracts X least significant bits of the RA field.  </w:t>
      </w:r>
    </w:p>
    <w:p w14:paraId="40D8939B" w14:textId="79BDEA2E" w:rsidR="00AC4C10" w:rsidRDefault="00697EF0" w:rsidP="0087697A">
      <w:pPr>
        <w:jc w:val="both"/>
      </w:pPr>
      <w:r>
        <w:t>Next issue</w:t>
      </w:r>
      <w:r w:rsidR="008072EA">
        <w:t xml:space="preserve"> is the size of BWPI field</w:t>
      </w:r>
      <w:r w:rsidR="00363BEE">
        <w:t xml:space="preserve"> itself</w:t>
      </w:r>
      <w:r w:rsidR="008072EA">
        <w:t xml:space="preserve">. Considering that the CIF field is 3bits irrespective of the number of configured cells, we think that BWPI should be always 2bits, if at least one dedicated BWP is configured. </w:t>
      </w:r>
    </w:p>
    <w:p w14:paraId="41041824" w14:textId="0B0D30CF" w:rsidR="008072EA" w:rsidRPr="008072EA" w:rsidRDefault="008072EA" w:rsidP="0087697A">
      <w:pPr>
        <w:jc w:val="both"/>
        <w:rPr>
          <w:b/>
        </w:rPr>
      </w:pPr>
      <w:r w:rsidRPr="008072EA">
        <w:rPr>
          <w:b/>
        </w:rPr>
        <w:t>Proposal-</w:t>
      </w:r>
      <w:r>
        <w:rPr>
          <w:b/>
        </w:rPr>
        <w:t>3</w:t>
      </w:r>
      <w:r w:rsidRPr="008072EA">
        <w:rPr>
          <w:b/>
        </w:rPr>
        <w:t>: The size of the BWPI field is always 2bits, if at least one user-specific</w:t>
      </w:r>
      <w:r w:rsidR="00697EF0">
        <w:rPr>
          <w:b/>
        </w:rPr>
        <w:t>/dedicated</w:t>
      </w:r>
      <w:r w:rsidRPr="008072EA">
        <w:rPr>
          <w:b/>
        </w:rPr>
        <w:t xml:space="preserve"> BWP has been configured</w:t>
      </w:r>
      <w:r w:rsidR="00697EF0">
        <w:rPr>
          <w:b/>
        </w:rPr>
        <w:t xml:space="preserve"> with dedicated RRC</w:t>
      </w:r>
      <w:r w:rsidRPr="008072EA">
        <w:rPr>
          <w:b/>
        </w:rPr>
        <w:t>.</w:t>
      </w:r>
    </w:p>
    <w:p w14:paraId="482EAD9E" w14:textId="33E95CAB" w:rsidR="008072EA" w:rsidRDefault="00697EF0" w:rsidP="0087697A">
      <w:pPr>
        <w:jc w:val="both"/>
      </w:pPr>
      <w:r>
        <w:t xml:space="preserve">Similar discussions as on RA field size, and BWPI </w:t>
      </w:r>
      <w:r w:rsidR="00363BEE">
        <w:t xml:space="preserve">field </w:t>
      </w:r>
      <w:r>
        <w:t>size should be carrier for other configurable fields of the general DCI format.</w:t>
      </w:r>
    </w:p>
    <w:p w14:paraId="79EA3435" w14:textId="77777777" w:rsidR="00A64649" w:rsidRDefault="00A64649" w:rsidP="0087697A">
      <w:pPr>
        <w:jc w:val="both"/>
      </w:pPr>
    </w:p>
    <w:p w14:paraId="30E029DD" w14:textId="0C1B1505" w:rsidR="0034111C" w:rsidRPr="00A51522" w:rsidRDefault="00363BEE">
      <w:pPr>
        <w:pStyle w:val="Heading1"/>
        <w:rPr>
          <w:color w:val="000000"/>
        </w:rPr>
      </w:pPr>
      <w:r>
        <w:rPr>
          <w:color w:val="000000"/>
        </w:rPr>
        <w:t>5</w:t>
      </w:r>
      <w:r w:rsidR="0034111C" w:rsidRPr="00A51522">
        <w:rPr>
          <w:color w:val="000000"/>
        </w:rPr>
        <w:tab/>
      </w:r>
      <w:r w:rsidR="00EE7FA7" w:rsidRPr="00A51522">
        <w:rPr>
          <w:color w:val="000000"/>
        </w:rPr>
        <w:t>Conclusion</w:t>
      </w:r>
    </w:p>
    <w:p w14:paraId="30E029DE" w14:textId="60B7FDB7"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 xml:space="preserve">the </w:t>
      </w:r>
      <w:r w:rsidR="00363BEE">
        <w:t>DCI formats in NR</w:t>
      </w:r>
      <w:r w:rsidR="004D2C2C">
        <w:t xml:space="preserve"> and have the following observations and proposals</w:t>
      </w:r>
      <w:r w:rsidR="00342AD2" w:rsidRPr="006A1BEB">
        <w:rPr>
          <w:bCs/>
        </w:rPr>
        <w:t>:</w:t>
      </w:r>
    </w:p>
    <w:p w14:paraId="38BA0B68" w14:textId="77777777" w:rsidR="003C6394" w:rsidRPr="00F31ABB" w:rsidRDefault="003C6394" w:rsidP="003C6394">
      <w:pPr>
        <w:overflowPunct/>
        <w:autoSpaceDE/>
        <w:autoSpaceDN/>
        <w:adjustRightInd/>
        <w:spacing w:after="0"/>
        <w:textAlignment w:val="auto"/>
        <w:rPr>
          <w:b/>
          <w:sz w:val="22"/>
          <w:szCs w:val="22"/>
        </w:rPr>
      </w:pPr>
      <w:r w:rsidRPr="00F31ABB">
        <w:rPr>
          <w:b/>
          <w:sz w:val="22"/>
          <w:szCs w:val="22"/>
          <w:lang w:val="en-US"/>
        </w:rPr>
        <w:t xml:space="preserve">Proposal-1: </w:t>
      </w:r>
      <w:r w:rsidRPr="00F31ABB">
        <w:rPr>
          <w:b/>
          <w:sz w:val="22"/>
          <w:szCs w:val="22"/>
        </w:rPr>
        <w:t>A DCI format can be configured</w:t>
      </w:r>
      <w:r>
        <w:rPr>
          <w:b/>
          <w:sz w:val="22"/>
          <w:szCs w:val="22"/>
        </w:rPr>
        <w:t xml:space="preserve"> with</w:t>
      </w:r>
      <w:r w:rsidRPr="00F31ABB">
        <w:rPr>
          <w:b/>
          <w:sz w:val="22"/>
          <w:szCs w:val="22"/>
        </w:rPr>
        <w:t xml:space="preserve"> up to </w:t>
      </w:r>
      <w:r w:rsidRPr="00F31ABB">
        <w:rPr>
          <w:b/>
          <w:i/>
          <w:sz w:val="22"/>
          <w:szCs w:val="22"/>
        </w:rPr>
        <w:t>P</w:t>
      </w:r>
      <w:r w:rsidRPr="00F31ABB">
        <w:rPr>
          <w:b/>
          <w:i/>
          <w:sz w:val="22"/>
          <w:szCs w:val="22"/>
          <w:vertAlign w:val="subscript"/>
        </w:rPr>
        <w:t>max</w:t>
      </w:r>
      <w:r w:rsidRPr="00F31ABB">
        <w:rPr>
          <w:b/>
          <w:sz w:val="22"/>
          <w:szCs w:val="22"/>
        </w:rPr>
        <w:t xml:space="preserve"> padding bits. </w:t>
      </w:r>
      <w:r w:rsidRPr="00F31ABB">
        <w:rPr>
          <w:b/>
          <w:sz w:val="22"/>
          <w:szCs w:val="22"/>
          <w:lang w:val="en-US"/>
        </w:rPr>
        <w:t xml:space="preserve">FFS </w:t>
      </w:r>
      <w:r w:rsidRPr="00F31ABB">
        <w:rPr>
          <w:b/>
          <w:i/>
          <w:sz w:val="22"/>
          <w:szCs w:val="22"/>
          <w:lang w:val="en-US"/>
        </w:rPr>
        <w:t>P</w:t>
      </w:r>
      <w:r w:rsidRPr="00F31ABB">
        <w:rPr>
          <w:b/>
          <w:i/>
          <w:sz w:val="22"/>
          <w:szCs w:val="22"/>
          <w:vertAlign w:val="subscript"/>
          <w:lang w:val="en-US"/>
        </w:rPr>
        <w:t>max</w:t>
      </w:r>
    </w:p>
    <w:p w14:paraId="545464BB" w14:textId="77777777" w:rsidR="003C6394" w:rsidRPr="00926019" w:rsidRDefault="003C6394" w:rsidP="003C6394">
      <w:pPr>
        <w:spacing w:after="0"/>
        <w:rPr>
          <w:b/>
        </w:rPr>
      </w:pPr>
      <w:r w:rsidRPr="00926019">
        <w:rPr>
          <w:b/>
        </w:rPr>
        <w:t>Proposal</w:t>
      </w:r>
      <w:r>
        <w:rPr>
          <w:b/>
        </w:rPr>
        <w:t>-1</w:t>
      </w:r>
      <w:r w:rsidRPr="00926019">
        <w:rPr>
          <w:b/>
        </w:rPr>
        <w:t xml:space="preserve">: </w:t>
      </w:r>
      <w:r>
        <w:rPr>
          <w:b/>
        </w:rPr>
        <w:t>A f</w:t>
      </w:r>
      <w:r w:rsidRPr="00926019">
        <w:rPr>
          <w:b/>
        </w:rPr>
        <w:t xml:space="preserve">all-back DCI </w:t>
      </w:r>
      <w:r>
        <w:rPr>
          <w:b/>
        </w:rPr>
        <w:t>format</w:t>
      </w:r>
    </w:p>
    <w:p w14:paraId="44A92C81" w14:textId="77777777" w:rsidR="003C6394" w:rsidRPr="00FA0800" w:rsidRDefault="003C6394" w:rsidP="003C6394">
      <w:pPr>
        <w:pStyle w:val="ListParagraph"/>
        <w:numPr>
          <w:ilvl w:val="0"/>
          <w:numId w:val="22"/>
        </w:numPr>
        <w:rPr>
          <w:b/>
          <w:sz w:val="20"/>
          <w:szCs w:val="20"/>
          <w:lang w:val="en-US"/>
        </w:rPr>
      </w:pPr>
      <w:r>
        <w:rPr>
          <w:b/>
          <w:sz w:val="20"/>
          <w:szCs w:val="20"/>
          <w:lang w:val="en-GB"/>
        </w:rPr>
        <w:lastRenderedPageBreak/>
        <w:t>can</w:t>
      </w:r>
      <w:r>
        <w:rPr>
          <w:b/>
          <w:sz w:val="20"/>
          <w:szCs w:val="20"/>
          <w:lang w:val="en-US"/>
        </w:rPr>
        <w:t xml:space="preserve"> be transmitted</w:t>
      </w:r>
      <w:r w:rsidRPr="00926019">
        <w:rPr>
          <w:b/>
          <w:sz w:val="20"/>
          <w:szCs w:val="20"/>
          <w:lang w:val="en-US"/>
        </w:rPr>
        <w:t xml:space="preserve"> on any BWP and any USS or CCS. </w:t>
      </w:r>
    </w:p>
    <w:p w14:paraId="291D3126" w14:textId="77777777" w:rsidR="003C6394" w:rsidRPr="00926019" w:rsidRDefault="003C6394" w:rsidP="003C6394">
      <w:pPr>
        <w:pStyle w:val="ListParagraph"/>
        <w:numPr>
          <w:ilvl w:val="0"/>
          <w:numId w:val="22"/>
        </w:numPr>
        <w:rPr>
          <w:b/>
          <w:sz w:val="20"/>
          <w:szCs w:val="20"/>
          <w:lang w:val="en-US"/>
        </w:rPr>
      </w:pPr>
      <w:r w:rsidRPr="00926019">
        <w:rPr>
          <w:b/>
          <w:sz w:val="20"/>
          <w:szCs w:val="20"/>
          <w:lang w:val="en-US"/>
        </w:rPr>
        <w:t>does not support cross-BWP scheduling</w:t>
      </w:r>
    </w:p>
    <w:p w14:paraId="5FF341F0" w14:textId="77777777" w:rsidR="003C6394" w:rsidRDefault="003C6394" w:rsidP="003C6394">
      <w:pPr>
        <w:pStyle w:val="ListParagraph"/>
        <w:numPr>
          <w:ilvl w:val="0"/>
          <w:numId w:val="22"/>
        </w:numPr>
        <w:rPr>
          <w:b/>
          <w:sz w:val="20"/>
          <w:szCs w:val="20"/>
          <w:lang w:val="en-US"/>
        </w:rPr>
      </w:pPr>
      <w:r>
        <w:rPr>
          <w:b/>
          <w:sz w:val="20"/>
          <w:szCs w:val="20"/>
          <w:lang w:val="en-US"/>
        </w:rPr>
        <w:t xml:space="preserve">contains </w:t>
      </w:r>
      <w:r w:rsidRPr="008A4229">
        <w:rPr>
          <w:b/>
          <w:sz w:val="20"/>
          <w:szCs w:val="20"/>
          <w:lang w:val="en-US"/>
        </w:rPr>
        <w:t>R</w:t>
      </w:r>
      <w:r>
        <w:rPr>
          <w:b/>
          <w:sz w:val="20"/>
          <w:szCs w:val="20"/>
          <w:lang w:val="en-US"/>
        </w:rPr>
        <w:t>A field of size which depends</w:t>
      </w:r>
      <w:r w:rsidRPr="00FA0800">
        <w:rPr>
          <w:b/>
          <w:sz w:val="20"/>
          <w:szCs w:val="20"/>
          <w:lang w:val="en-US"/>
        </w:rPr>
        <w:t xml:space="preserve"> on the size of </w:t>
      </w:r>
      <w:r>
        <w:rPr>
          <w:b/>
          <w:sz w:val="20"/>
          <w:szCs w:val="20"/>
          <w:lang w:val="en-US"/>
        </w:rPr>
        <w:t xml:space="preserve">the </w:t>
      </w:r>
      <w:r w:rsidRPr="00FA0800">
        <w:rPr>
          <w:b/>
          <w:sz w:val="20"/>
          <w:szCs w:val="20"/>
          <w:lang w:val="en-US"/>
        </w:rPr>
        <w:t>BWP</w:t>
      </w:r>
      <w:r>
        <w:rPr>
          <w:b/>
          <w:sz w:val="20"/>
          <w:szCs w:val="20"/>
          <w:lang w:val="en-US"/>
        </w:rPr>
        <w:t>, on which the fall-back DCI was transmitted</w:t>
      </w:r>
      <w:r w:rsidRPr="00926019">
        <w:rPr>
          <w:b/>
          <w:sz w:val="20"/>
          <w:szCs w:val="20"/>
          <w:lang w:val="en-US"/>
        </w:rPr>
        <w:t xml:space="preserve"> </w:t>
      </w:r>
    </w:p>
    <w:p w14:paraId="12358ACD" w14:textId="77777777" w:rsidR="003C6394" w:rsidRDefault="003C6394" w:rsidP="003C6394">
      <w:pPr>
        <w:rPr>
          <w:b/>
          <w:lang w:val="en-US"/>
        </w:rPr>
      </w:pPr>
    </w:p>
    <w:p w14:paraId="2B1AA28E" w14:textId="77777777" w:rsidR="003C6394" w:rsidRPr="00697EF0" w:rsidRDefault="003C6394" w:rsidP="003C6394">
      <w:pPr>
        <w:rPr>
          <w:b/>
        </w:rPr>
      </w:pPr>
      <w:r w:rsidRPr="00697EF0">
        <w:rPr>
          <w:b/>
        </w:rPr>
        <w:t xml:space="preserve">Proposal-2: The RA field in general scheduling DCI format is determined by the largest required RA-field size across the configured BWPs (Alt 1), DL BWPs for a DL assignment and UL BWPs for a UL grant. If the number of bits X required for scheduling the BWP is smaller than RA field size in scheduling DCI, the UE extracts X least significant bits of the RA field.  </w:t>
      </w:r>
    </w:p>
    <w:p w14:paraId="37DAF163" w14:textId="77777777" w:rsidR="003C6394" w:rsidRPr="008072EA" w:rsidRDefault="003C6394" w:rsidP="003C6394">
      <w:pPr>
        <w:jc w:val="both"/>
        <w:rPr>
          <w:b/>
        </w:rPr>
      </w:pPr>
      <w:r w:rsidRPr="008072EA">
        <w:rPr>
          <w:b/>
        </w:rPr>
        <w:t>Proposal-</w:t>
      </w:r>
      <w:r>
        <w:rPr>
          <w:b/>
        </w:rPr>
        <w:t>3</w:t>
      </w:r>
      <w:r w:rsidRPr="008072EA">
        <w:rPr>
          <w:b/>
        </w:rPr>
        <w:t>: The size of the BWPI field is always 2bits, if at least one user-specific</w:t>
      </w:r>
      <w:r>
        <w:rPr>
          <w:b/>
        </w:rPr>
        <w:t>/dedicated</w:t>
      </w:r>
      <w:r w:rsidRPr="008072EA">
        <w:rPr>
          <w:b/>
        </w:rPr>
        <w:t xml:space="preserve"> BWP has been configured</w:t>
      </w:r>
      <w:r>
        <w:rPr>
          <w:b/>
        </w:rPr>
        <w:t xml:space="preserve"> with dedicated RRC</w:t>
      </w:r>
      <w:r w:rsidRPr="008072EA">
        <w:rPr>
          <w:b/>
        </w:rPr>
        <w:t>.</w:t>
      </w:r>
    </w:p>
    <w:p w14:paraId="595D8214" w14:textId="735430C6" w:rsidR="001317F4" w:rsidRPr="003C6394" w:rsidRDefault="001317F4" w:rsidP="001317F4">
      <w:pPr>
        <w:rPr>
          <w:b/>
        </w:rPr>
      </w:pPr>
      <w:bookmarkStart w:id="0" w:name="_GoBack"/>
      <w:bookmarkEnd w:id="0"/>
    </w:p>
    <w:p w14:paraId="30E029F2" w14:textId="669531D3" w:rsidR="0034111C" w:rsidRPr="00521425" w:rsidRDefault="0034111C">
      <w:pPr>
        <w:pStyle w:val="Heading1"/>
      </w:pPr>
      <w:r w:rsidRPr="00521425">
        <w:t>References</w:t>
      </w:r>
    </w:p>
    <w:p w14:paraId="7F2C0F62" w14:textId="77777777" w:rsidR="00697EF0" w:rsidRDefault="00F31ABB" w:rsidP="00697EF0">
      <w:pPr>
        <w:pStyle w:val="ListParagraph"/>
        <w:numPr>
          <w:ilvl w:val="0"/>
          <w:numId w:val="1"/>
        </w:numPr>
        <w:rPr>
          <w:sz w:val="20"/>
          <w:szCs w:val="22"/>
          <w:lang w:val="en-US" w:eastAsia="en-US"/>
        </w:rPr>
      </w:pPr>
      <w:bookmarkStart w:id="1" w:name="_Ref492891736"/>
      <w:bookmarkStart w:id="2" w:name="_Ref498703239"/>
      <w:r w:rsidRPr="00F31ABB">
        <w:rPr>
          <w:sz w:val="20"/>
          <w:szCs w:val="22"/>
          <w:lang w:val="en-US" w:eastAsia="en-US"/>
        </w:rPr>
        <w:t>R1-1720871</w:t>
      </w:r>
      <w:r w:rsidR="0087697A" w:rsidRPr="00F31ABB">
        <w:rPr>
          <w:sz w:val="20"/>
          <w:szCs w:val="22"/>
          <w:lang w:val="en-US" w:eastAsia="en-US"/>
        </w:rPr>
        <w:t>, “</w:t>
      </w:r>
      <w:r w:rsidRPr="00F31ABB">
        <w:rPr>
          <w:sz w:val="20"/>
          <w:szCs w:val="22"/>
          <w:lang w:val="en-US" w:eastAsia="en-US"/>
        </w:rPr>
        <w:t>Discussion on DCI bit mapping</w:t>
      </w:r>
      <w:r w:rsidR="0087697A" w:rsidRPr="00F31ABB">
        <w:rPr>
          <w:sz w:val="20"/>
          <w:szCs w:val="22"/>
          <w:lang w:val="en-US" w:eastAsia="en-US"/>
        </w:rPr>
        <w:t>”, Nokia, N</w:t>
      </w:r>
      <w:r w:rsidRPr="00F31ABB">
        <w:rPr>
          <w:sz w:val="20"/>
          <w:szCs w:val="22"/>
          <w:lang w:val="en-US" w:eastAsia="en-US"/>
        </w:rPr>
        <w:t xml:space="preserve">okia </w:t>
      </w:r>
      <w:r w:rsidR="0087697A" w:rsidRPr="00F31ABB">
        <w:rPr>
          <w:sz w:val="20"/>
          <w:szCs w:val="22"/>
          <w:lang w:val="en-US" w:eastAsia="en-US"/>
        </w:rPr>
        <w:t>S</w:t>
      </w:r>
      <w:r>
        <w:rPr>
          <w:sz w:val="20"/>
          <w:szCs w:val="22"/>
          <w:lang w:val="en-US" w:eastAsia="en-US"/>
        </w:rPr>
        <w:t xml:space="preserve">hanghai </w:t>
      </w:r>
      <w:r w:rsidR="0087697A" w:rsidRPr="00F31ABB">
        <w:rPr>
          <w:sz w:val="20"/>
          <w:szCs w:val="22"/>
          <w:lang w:val="en-US" w:eastAsia="en-US"/>
        </w:rPr>
        <w:t>B</w:t>
      </w:r>
      <w:bookmarkEnd w:id="1"/>
      <w:r w:rsidRPr="00F31ABB">
        <w:rPr>
          <w:sz w:val="20"/>
          <w:szCs w:val="22"/>
          <w:lang w:val="en-US" w:eastAsia="en-US"/>
        </w:rPr>
        <w:t>ell</w:t>
      </w:r>
      <w:bookmarkEnd w:id="2"/>
    </w:p>
    <w:p w14:paraId="3BDE255A" w14:textId="629EBFAC" w:rsidR="009515E8" w:rsidRPr="00697EF0" w:rsidRDefault="00697EF0" w:rsidP="00697EF0">
      <w:pPr>
        <w:pStyle w:val="ListParagraph"/>
        <w:numPr>
          <w:ilvl w:val="0"/>
          <w:numId w:val="1"/>
        </w:numPr>
        <w:rPr>
          <w:sz w:val="20"/>
          <w:szCs w:val="22"/>
          <w:lang w:val="en-US" w:eastAsia="en-US"/>
        </w:rPr>
      </w:pPr>
      <w:bookmarkStart w:id="3" w:name="_Ref498705957"/>
      <w:r w:rsidRPr="00697EF0">
        <w:rPr>
          <w:sz w:val="20"/>
          <w:szCs w:val="22"/>
          <w:lang w:val="en-US"/>
        </w:rPr>
        <w:t>R1-1720479, “On resource allocation for PDSCH and PUSCH in NR”, Nokia, Nokia Shanghai Bell</w:t>
      </w:r>
      <w:bookmarkEnd w:id="3"/>
    </w:p>
    <w:sectPr w:rsidR="009515E8" w:rsidRPr="00697EF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B639B" w14:textId="77777777" w:rsidR="009B34CB" w:rsidRDefault="009B34CB">
      <w:r>
        <w:separator/>
      </w:r>
    </w:p>
  </w:endnote>
  <w:endnote w:type="continuationSeparator" w:id="0">
    <w:p w14:paraId="4F4AFFC7" w14:textId="77777777" w:rsidR="009B34CB" w:rsidRDefault="009B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51986" w14:textId="77777777" w:rsidR="009B34CB" w:rsidRDefault="009B34CB">
      <w:r>
        <w:separator/>
      </w:r>
    </w:p>
  </w:footnote>
  <w:footnote w:type="continuationSeparator" w:id="0">
    <w:p w14:paraId="54D59485" w14:textId="77777777" w:rsidR="009B34CB" w:rsidRDefault="009B3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1734"/>
    <w:multiLevelType w:val="hybridMultilevel"/>
    <w:tmpl w:val="C0A8A02A"/>
    <w:lvl w:ilvl="0" w:tplc="E264A362">
      <w:start w:val="1"/>
      <w:numFmt w:val="bullet"/>
      <w:lvlText w:val="•"/>
      <w:lvlJc w:val="left"/>
      <w:pPr>
        <w:tabs>
          <w:tab w:val="num" w:pos="720"/>
        </w:tabs>
        <w:ind w:left="720" w:hanging="360"/>
      </w:pPr>
      <w:rPr>
        <w:rFonts w:ascii="Arial" w:hAnsi="Arial" w:hint="default"/>
      </w:rPr>
    </w:lvl>
    <w:lvl w:ilvl="1" w:tplc="70D64F80" w:tentative="1">
      <w:start w:val="1"/>
      <w:numFmt w:val="bullet"/>
      <w:lvlText w:val="•"/>
      <w:lvlJc w:val="left"/>
      <w:pPr>
        <w:tabs>
          <w:tab w:val="num" w:pos="1440"/>
        </w:tabs>
        <w:ind w:left="1440" w:hanging="360"/>
      </w:pPr>
      <w:rPr>
        <w:rFonts w:ascii="Arial" w:hAnsi="Arial" w:hint="default"/>
      </w:rPr>
    </w:lvl>
    <w:lvl w:ilvl="2" w:tplc="494421C0">
      <w:numFmt w:val="bullet"/>
      <w:lvlText w:val=""/>
      <w:lvlJc w:val="left"/>
      <w:pPr>
        <w:tabs>
          <w:tab w:val="num" w:pos="2160"/>
        </w:tabs>
        <w:ind w:left="2160" w:hanging="360"/>
      </w:pPr>
      <w:rPr>
        <w:rFonts w:ascii="Wingdings" w:hAnsi="Wingdings" w:hint="default"/>
      </w:rPr>
    </w:lvl>
    <w:lvl w:ilvl="3" w:tplc="0BCE525E" w:tentative="1">
      <w:start w:val="1"/>
      <w:numFmt w:val="bullet"/>
      <w:lvlText w:val="•"/>
      <w:lvlJc w:val="left"/>
      <w:pPr>
        <w:tabs>
          <w:tab w:val="num" w:pos="2880"/>
        </w:tabs>
        <w:ind w:left="2880" w:hanging="360"/>
      </w:pPr>
      <w:rPr>
        <w:rFonts w:ascii="Arial" w:hAnsi="Arial" w:hint="default"/>
      </w:rPr>
    </w:lvl>
    <w:lvl w:ilvl="4" w:tplc="4B7AD92E" w:tentative="1">
      <w:start w:val="1"/>
      <w:numFmt w:val="bullet"/>
      <w:lvlText w:val="•"/>
      <w:lvlJc w:val="left"/>
      <w:pPr>
        <w:tabs>
          <w:tab w:val="num" w:pos="3600"/>
        </w:tabs>
        <w:ind w:left="3600" w:hanging="360"/>
      </w:pPr>
      <w:rPr>
        <w:rFonts w:ascii="Arial" w:hAnsi="Arial" w:hint="default"/>
      </w:rPr>
    </w:lvl>
    <w:lvl w:ilvl="5" w:tplc="522E3668" w:tentative="1">
      <w:start w:val="1"/>
      <w:numFmt w:val="bullet"/>
      <w:lvlText w:val="•"/>
      <w:lvlJc w:val="left"/>
      <w:pPr>
        <w:tabs>
          <w:tab w:val="num" w:pos="4320"/>
        </w:tabs>
        <w:ind w:left="4320" w:hanging="360"/>
      </w:pPr>
      <w:rPr>
        <w:rFonts w:ascii="Arial" w:hAnsi="Arial" w:hint="default"/>
      </w:rPr>
    </w:lvl>
    <w:lvl w:ilvl="6" w:tplc="B82C0A52" w:tentative="1">
      <w:start w:val="1"/>
      <w:numFmt w:val="bullet"/>
      <w:lvlText w:val="•"/>
      <w:lvlJc w:val="left"/>
      <w:pPr>
        <w:tabs>
          <w:tab w:val="num" w:pos="5040"/>
        </w:tabs>
        <w:ind w:left="5040" w:hanging="360"/>
      </w:pPr>
      <w:rPr>
        <w:rFonts w:ascii="Arial" w:hAnsi="Arial" w:hint="default"/>
      </w:rPr>
    </w:lvl>
    <w:lvl w:ilvl="7" w:tplc="4ADAF6CE" w:tentative="1">
      <w:start w:val="1"/>
      <w:numFmt w:val="bullet"/>
      <w:lvlText w:val="•"/>
      <w:lvlJc w:val="left"/>
      <w:pPr>
        <w:tabs>
          <w:tab w:val="num" w:pos="5760"/>
        </w:tabs>
        <w:ind w:left="5760" w:hanging="360"/>
      </w:pPr>
      <w:rPr>
        <w:rFonts w:ascii="Arial" w:hAnsi="Arial" w:hint="default"/>
      </w:rPr>
    </w:lvl>
    <w:lvl w:ilvl="8" w:tplc="CDE43F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0E24894"/>
    <w:multiLevelType w:val="hybridMultilevel"/>
    <w:tmpl w:val="D4BEF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91DCD"/>
    <w:multiLevelType w:val="hybridMultilevel"/>
    <w:tmpl w:val="039E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967AC"/>
    <w:multiLevelType w:val="hybridMultilevel"/>
    <w:tmpl w:val="120EF770"/>
    <w:lvl w:ilvl="0" w:tplc="4CFE1222">
      <w:start w:val="1"/>
      <w:numFmt w:val="bullet"/>
      <w:lvlText w:val=""/>
      <w:lvlJc w:val="left"/>
      <w:pPr>
        <w:tabs>
          <w:tab w:val="num" w:pos="720"/>
        </w:tabs>
        <w:ind w:left="720" w:hanging="360"/>
      </w:pPr>
      <w:rPr>
        <w:rFonts w:ascii="Symbol" w:hAnsi="Symbol" w:hint="default"/>
      </w:rPr>
    </w:lvl>
    <w:lvl w:ilvl="1" w:tplc="1884C282">
      <w:start w:val="1"/>
      <w:numFmt w:val="bullet"/>
      <w:lvlText w:val=""/>
      <w:lvlJc w:val="left"/>
      <w:pPr>
        <w:tabs>
          <w:tab w:val="num" w:pos="1440"/>
        </w:tabs>
        <w:ind w:left="1440" w:hanging="360"/>
      </w:pPr>
      <w:rPr>
        <w:rFonts w:ascii="Symbol" w:hAnsi="Symbol" w:hint="default"/>
      </w:rPr>
    </w:lvl>
    <w:lvl w:ilvl="2" w:tplc="686680E2">
      <w:numFmt w:val="bullet"/>
      <w:lvlText w:val=""/>
      <w:lvlJc w:val="left"/>
      <w:pPr>
        <w:tabs>
          <w:tab w:val="num" w:pos="2160"/>
        </w:tabs>
        <w:ind w:left="2160" w:hanging="360"/>
      </w:pPr>
      <w:rPr>
        <w:rFonts w:ascii="Wingdings" w:hAnsi="Wingdings" w:hint="default"/>
      </w:rPr>
    </w:lvl>
    <w:lvl w:ilvl="3" w:tplc="C0FC3E10" w:tentative="1">
      <w:start w:val="1"/>
      <w:numFmt w:val="bullet"/>
      <w:lvlText w:val=""/>
      <w:lvlJc w:val="left"/>
      <w:pPr>
        <w:tabs>
          <w:tab w:val="num" w:pos="2880"/>
        </w:tabs>
        <w:ind w:left="2880" w:hanging="360"/>
      </w:pPr>
      <w:rPr>
        <w:rFonts w:ascii="Symbol" w:hAnsi="Symbol" w:hint="default"/>
      </w:rPr>
    </w:lvl>
    <w:lvl w:ilvl="4" w:tplc="3D122D0E" w:tentative="1">
      <w:start w:val="1"/>
      <w:numFmt w:val="bullet"/>
      <w:lvlText w:val=""/>
      <w:lvlJc w:val="left"/>
      <w:pPr>
        <w:tabs>
          <w:tab w:val="num" w:pos="3600"/>
        </w:tabs>
        <w:ind w:left="3600" w:hanging="360"/>
      </w:pPr>
      <w:rPr>
        <w:rFonts w:ascii="Symbol" w:hAnsi="Symbol" w:hint="default"/>
      </w:rPr>
    </w:lvl>
    <w:lvl w:ilvl="5" w:tplc="C012202A" w:tentative="1">
      <w:start w:val="1"/>
      <w:numFmt w:val="bullet"/>
      <w:lvlText w:val=""/>
      <w:lvlJc w:val="left"/>
      <w:pPr>
        <w:tabs>
          <w:tab w:val="num" w:pos="4320"/>
        </w:tabs>
        <w:ind w:left="4320" w:hanging="360"/>
      </w:pPr>
      <w:rPr>
        <w:rFonts w:ascii="Symbol" w:hAnsi="Symbol" w:hint="default"/>
      </w:rPr>
    </w:lvl>
    <w:lvl w:ilvl="6" w:tplc="2F4616E4" w:tentative="1">
      <w:start w:val="1"/>
      <w:numFmt w:val="bullet"/>
      <w:lvlText w:val=""/>
      <w:lvlJc w:val="left"/>
      <w:pPr>
        <w:tabs>
          <w:tab w:val="num" w:pos="5040"/>
        </w:tabs>
        <w:ind w:left="5040" w:hanging="360"/>
      </w:pPr>
      <w:rPr>
        <w:rFonts w:ascii="Symbol" w:hAnsi="Symbol" w:hint="default"/>
      </w:rPr>
    </w:lvl>
    <w:lvl w:ilvl="7" w:tplc="6CEC2CAE" w:tentative="1">
      <w:start w:val="1"/>
      <w:numFmt w:val="bullet"/>
      <w:lvlText w:val=""/>
      <w:lvlJc w:val="left"/>
      <w:pPr>
        <w:tabs>
          <w:tab w:val="num" w:pos="5760"/>
        </w:tabs>
        <w:ind w:left="5760" w:hanging="360"/>
      </w:pPr>
      <w:rPr>
        <w:rFonts w:ascii="Symbol" w:hAnsi="Symbol" w:hint="default"/>
      </w:rPr>
    </w:lvl>
    <w:lvl w:ilvl="8" w:tplc="635C19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B30E41"/>
    <w:multiLevelType w:val="hybridMultilevel"/>
    <w:tmpl w:val="155CF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70089"/>
    <w:multiLevelType w:val="hybridMultilevel"/>
    <w:tmpl w:val="790C287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3666CBB"/>
    <w:multiLevelType w:val="hybridMultilevel"/>
    <w:tmpl w:val="2B220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E461860"/>
    <w:multiLevelType w:val="hybridMultilevel"/>
    <w:tmpl w:val="BA54B892"/>
    <w:lvl w:ilvl="0" w:tplc="72CEC532">
      <w:start w:val="1"/>
      <w:numFmt w:val="bullet"/>
      <w:lvlText w:val=""/>
      <w:lvlJc w:val="left"/>
      <w:pPr>
        <w:tabs>
          <w:tab w:val="num" w:pos="610"/>
        </w:tabs>
        <w:ind w:left="610" w:hanging="360"/>
      </w:pPr>
      <w:rPr>
        <w:rFonts w:ascii="Symbol" w:hAnsi="Symbol" w:hint="default"/>
      </w:rPr>
    </w:lvl>
    <w:lvl w:ilvl="1" w:tplc="AB8A7B00">
      <w:numFmt w:val="bullet"/>
      <w:lvlText w:val="o"/>
      <w:lvlJc w:val="left"/>
      <w:pPr>
        <w:tabs>
          <w:tab w:val="num" w:pos="1330"/>
        </w:tabs>
        <w:ind w:left="1330" w:hanging="360"/>
      </w:pPr>
      <w:rPr>
        <w:rFonts w:ascii="Courier New" w:hAnsi="Courier New" w:hint="default"/>
      </w:rPr>
    </w:lvl>
    <w:lvl w:ilvl="2" w:tplc="3E6402EC">
      <w:numFmt w:val="bullet"/>
      <w:lvlText w:val=""/>
      <w:lvlJc w:val="left"/>
      <w:pPr>
        <w:tabs>
          <w:tab w:val="num" w:pos="2050"/>
        </w:tabs>
        <w:ind w:left="2050" w:hanging="360"/>
      </w:pPr>
      <w:rPr>
        <w:rFonts w:ascii="Wingdings" w:hAnsi="Wingdings" w:hint="default"/>
      </w:rPr>
    </w:lvl>
    <w:lvl w:ilvl="3" w:tplc="7700B9B4" w:tentative="1">
      <w:start w:val="1"/>
      <w:numFmt w:val="bullet"/>
      <w:lvlText w:val=""/>
      <w:lvlJc w:val="left"/>
      <w:pPr>
        <w:tabs>
          <w:tab w:val="num" w:pos="2770"/>
        </w:tabs>
        <w:ind w:left="2770" w:hanging="360"/>
      </w:pPr>
      <w:rPr>
        <w:rFonts w:ascii="Symbol" w:hAnsi="Symbol" w:hint="default"/>
      </w:rPr>
    </w:lvl>
    <w:lvl w:ilvl="4" w:tplc="D484425A" w:tentative="1">
      <w:start w:val="1"/>
      <w:numFmt w:val="bullet"/>
      <w:lvlText w:val=""/>
      <w:lvlJc w:val="left"/>
      <w:pPr>
        <w:tabs>
          <w:tab w:val="num" w:pos="3490"/>
        </w:tabs>
        <w:ind w:left="3490" w:hanging="360"/>
      </w:pPr>
      <w:rPr>
        <w:rFonts w:ascii="Symbol" w:hAnsi="Symbol" w:hint="default"/>
      </w:rPr>
    </w:lvl>
    <w:lvl w:ilvl="5" w:tplc="D2BC1180" w:tentative="1">
      <w:start w:val="1"/>
      <w:numFmt w:val="bullet"/>
      <w:lvlText w:val=""/>
      <w:lvlJc w:val="left"/>
      <w:pPr>
        <w:tabs>
          <w:tab w:val="num" w:pos="4210"/>
        </w:tabs>
        <w:ind w:left="4210" w:hanging="360"/>
      </w:pPr>
      <w:rPr>
        <w:rFonts w:ascii="Symbol" w:hAnsi="Symbol" w:hint="default"/>
      </w:rPr>
    </w:lvl>
    <w:lvl w:ilvl="6" w:tplc="E0A2281A" w:tentative="1">
      <w:start w:val="1"/>
      <w:numFmt w:val="bullet"/>
      <w:lvlText w:val=""/>
      <w:lvlJc w:val="left"/>
      <w:pPr>
        <w:tabs>
          <w:tab w:val="num" w:pos="4930"/>
        </w:tabs>
        <w:ind w:left="4930" w:hanging="360"/>
      </w:pPr>
      <w:rPr>
        <w:rFonts w:ascii="Symbol" w:hAnsi="Symbol" w:hint="default"/>
      </w:rPr>
    </w:lvl>
    <w:lvl w:ilvl="7" w:tplc="D3C6E37E" w:tentative="1">
      <w:start w:val="1"/>
      <w:numFmt w:val="bullet"/>
      <w:lvlText w:val=""/>
      <w:lvlJc w:val="left"/>
      <w:pPr>
        <w:tabs>
          <w:tab w:val="num" w:pos="5650"/>
        </w:tabs>
        <w:ind w:left="5650" w:hanging="360"/>
      </w:pPr>
      <w:rPr>
        <w:rFonts w:ascii="Symbol" w:hAnsi="Symbol" w:hint="default"/>
      </w:rPr>
    </w:lvl>
    <w:lvl w:ilvl="8" w:tplc="029EDD80" w:tentative="1">
      <w:start w:val="1"/>
      <w:numFmt w:val="bullet"/>
      <w:lvlText w:val=""/>
      <w:lvlJc w:val="left"/>
      <w:pPr>
        <w:tabs>
          <w:tab w:val="num" w:pos="6370"/>
        </w:tabs>
        <w:ind w:left="6370" w:hanging="360"/>
      </w:pPr>
      <w:rPr>
        <w:rFonts w:ascii="Symbol" w:hAnsi="Symbol" w:hint="default"/>
      </w:rPr>
    </w:lvl>
  </w:abstractNum>
  <w:abstractNum w:abstractNumId="17" w15:restartNumberingAfterBreak="0">
    <w:nsid w:val="55781663"/>
    <w:multiLevelType w:val="hybridMultilevel"/>
    <w:tmpl w:val="FF6437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7226DD4"/>
    <w:multiLevelType w:val="hybridMultilevel"/>
    <w:tmpl w:val="447472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6B5D167F"/>
    <w:multiLevelType w:val="hybridMultilevel"/>
    <w:tmpl w:val="6B3C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num w:numId="1">
    <w:abstractNumId w:val="10"/>
  </w:num>
  <w:num w:numId="2">
    <w:abstractNumId w:val="3"/>
  </w:num>
  <w:num w:numId="3">
    <w:abstractNumId w:val="2"/>
  </w:num>
  <w:num w:numId="4">
    <w:abstractNumId w:val="22"/>
  </w:num>
  <w:num w:numId="5">
    <w:abstractNumId w:val="21"/>
  </w:num>
  <w:num w:numId="6">
    <w:abstractNumId w:val="12"/>
  </w:num>
  <w:num w:numId="7">
    <w:abstractNumId w:val="6"/>
  </w:num>
  <w:num w:numId="8">
    <w:abstractNumId w:val="20"/>
  </w:num>
  <w:num w:numId="9">
    <w:abstractNumId w:val="14"/>
  </w:num>
  <w:num w:numId="10">
    <w:abstractNumId w:val="5"/>
  </w:num>
  <w:num w:numId="11">
    <w:abstractNumId w:val="11"/>
  </w:num>
  <w:num w:numId="12">
    <w:abstractNumId w:val="13"/>
  </w:num>
  <w:num w:numId="13">
    <w:abstractNumId w:val="15"/>
  </w:num>
  <w:num w:numId="14">
    <w:abstractNumId w:val="18"/>
  </w:num>
  <w:num w:numId="15">
    <w:abstractNumId w:val="16"/>
  </w:num>
  <w:num w:numId="16">
    <w:abstractNumId w:val="8"/>
  </w:num>
  <w:num w:numId="17">
    <w:abstractNumId w:val="0"/>
  </w:num>
  <w:num w:numId="18">
    <w:abstractNumId w:val="19"/>
  </w:num>
  <w:num w:numId="19">
    <w:abstractNumId w:val="17"/>
  </w:num>
  <w:num w:numId="20">
    <w:abstractNumId w:val="1"/>
  </w:num>
  <w:num w:numId="21">
    <w:abstractNumId w:val="1"/>
  </w:num>
  <w:num w:numId="22">
    <w:abstractNumId w:val="9"/>
  </w:num>
  <w:num w:numId="23">
    <w:abstractNumId w:val="24"/>
  </w:num>
  <w:num w:numId="24">
    <w:abstractNumId w:val="23"/>
  </w:num>
  <w:num w:numId="25">
    <w:abstractNumId w:val="4"/>
  </w:num>
  <w:num w:numId="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D1E"/>
    <w:rsid w:val="00013F5E"/>
    <w:rsid w:val="0001403F"/>
    <w:rsid w:val="0001487F"/>
    <w:rsid w:val="00014F35"/>
    <w:rsid w:val="00015F98"/>
    <w:rsid w:val="000166AC"/>
    <w:rsid w:val="00017B7F"/>
    <w:rsid w:val="00017EDA"/>
    <w:rsid w:val="00023742"/>
    <w:rsid w:val="00024AEF"/>
    <w:rsid w:val="00025138"/>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47F7E"/>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A8C"/>
    <w:rsid w:val="00075FDA"/>
    <w:rsid w:val="00076386"/>
    <w:rsid w:val="00076D82"/>
    <w:rsid w:val="00077CDB"/>
    <w:rsid w:val="00081EC2"/>
    <w:rsid w:val="00083800"/>
    <w:rsid w:val="00084A65"/>
    <w:rsid w:val="0008559A"/>
    <w:rsid w:val="000902C2"/>
    <w:rsid w:val="00091A92"/>
    <w:rsid w:val="000936E6"/>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154A"/>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376"/>
    <w:rsid w:val="000F3594"/>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8F7"/>
    <w:rsid w:val="00117332"/>
    <w:rsid w:val="0011784B"/>
    <w:rsid w:val="001204DD"/>
    <w:rsid w:val="00122839"/>
    <w:rsid w:val="001237AC"/>
    <w:rsid w:val="00124E12"/>
    <w:rsid w:val="0012673D"/>
    <w:rsid w:val="001269B8"/>
    <w:rsid w:val="00127099"/>
    <w:rsid w:val="001317F4"/>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4A82"/>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06"/>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96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6D1"/>
    <w:rsid w:val="0031393C"/>
    <w:rsid w:val="00313CB0"/>
    <w:rsid w:val="00313F96"/>
    <w:rsid w:val="00314B0A"/>
    <w:rsid w:val="003150CE"/>
    <w:rsid w:val="00315AAB"/>
    <w:rsid w:val="003175E1"/>
    <w:rsid w:val="00320299"/>
    <w:rsid w:val="00321154"/>
    <w:rsid w:val="003211B0"/>
    <w:rsid w:val="00321EDA"/>
    <w:rsid w:val="003224AA"/>
    <w:rsid w:val="003224E7"/>
    <w:rsid w:val="00324DF4"/>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611"/>
    <w:rsid w:val="00343954"/>
    <w:rsid w:val="00345405"/>
    <w:rsid w:val="00345DDD"/>
    <w:rsid w:val="00346FED"/>
    <w:rsid w:val="00351E01"/>
    <w:rsid w:val="0035211A"/>
    <w:rsid w:val="00352968"/>
    <w:rsid w:val="0035298B"/>
    <w:rsid w:val="00352D21"/>
    <w:rsid w:val="0035443D"/>
    <w:rsid w:val="00354FEE"/>
    <w:rsid w:val="00356275"/>
    <w:rsid w:val="00356C0B"/>
    <w:rsid w:val="00357B9C"/>
    <w:rsid w:val="00361412"/>
    <w:rsid w:val="003615CA"/>
    <w:rsid w:val="00363B2C"/>
    <w:rsid w:val="00363BEE"/>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39"/>
    <w:rsid w:val="003762DC"/>
    <w:rsid w:val="00376D50"/>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3C64"/>
    <w:rsid w:val="003B4FAA"/>
    <w:rsid w:val="003B547A"/>
    <w:rsid w:val="003B75B9"/>
    <w:rsid w:val="003C087B"/>
    <w:rsid w:val="003C0DA2"/>
    <w:rsid w:val="003C1A18"/>
    <w:rsid w:val="003C5C41"/>
    <w:rsid w:val="003C6394"/>
    <w:rsid w:val="003C6877"/>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0753C"/>
    <w:rsid w:val="004136EC"/>
    <w:rsid w:val="0041443C"/>
    <w:rsid w:val="0041488F"/>
    <w:rsid w:val="004154F7"/>
    <w:rsid w:val="00416D44"/>
    <w:rsid w:val="00416DEC"/>
    <w:rsid w:val="004176FF"/>
    <w:rsid w:val="00421A27"/>
    <w:rsid w:val="00421D0A"/>
    <w:rsid w:val="004222E2"/>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1BAB"/>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4FE"/>
    <w:rsid w:val="004B23AD"/>
    <w:rsid w:val="004B29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D7F02"/>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5D51"/>
    <w:rsid w:val="00510ABC"/>
    <w:rsid w:val="00511079"/>
    <w:rsid w:val="00511411"/>
    <w:rsid w:val="00511CDF"/>
    <w:rsid w:val="00512829"/>
    <w:rsid w:val="00513839"/>
    <w:rsid w:val="00513DEF"/>
    <w:rsid w:val="0051423C"/>
    <w:rsid w:val="00514C91"/>
    <w:rsid w:val="005153CE"/>
    <w:rsid w:val="00515C45"/>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477F2"/>
    <w:rsid w:val="005518ED"/>
    <w:rsid w:val="00552093"/>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6BBA"/>
    <w:rsid w:val="00597386"/>
    <w:rsid w:val="005975C4"/>
    <w:rsid w:val="00597ED8"/>
    <w:rsid w:val="005A2B20"/>
    <w:rsid w:val="005A34D5"/>
    <w:rsid w:val="005A4904"/>
    <w:rsid w:val="005A515A"/>
    <w:rsid w:val="005A5E89"/>
    <w:rsid w:val="005A704D"/>
    <w:rsid w:val="005B3C6D"/>
    <w:rsid w:val="005B4045"/>
    <w:rsid w:val="005B609E"/>
    <w:rsid w:val="005B6DF6"/>
    <w:rsid w:val="005B7B7D"/>
    <w:rsid w:val="005C1948"/>
    <w:rsid w:val="005C22F9"/>
    <w:rsid w:val="005C263C"/>
    <w:rsid w:val="005C2679"/>
    <w:rsid w:val="005C5870"/>
    <w:rsid w:val="005D036C"/>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480F"/>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DE1"/>
    <w:rsid w:val="006060C2"/>
    <w:rsid w:val="00606A26"/>
    <w:rsid w:val="00607D81"/>
    <w:rsid w:val="00610747"/>
    <w:rsid w:val="00610E03"/>
    <w:rsid w:val="0061176E"/>
    <w:rsid w:val="00614CD1"/>
    <w:rsid w:val="0061567B"/>
    <w:rsid w:val="0061669C"/>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C8F"/>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7E9"/>
    <w:rsid w:val="00682B53"/>
    <w:rsid w:val="00682F27"/>
    <w:rsid w:val="006859DB"/>
    <w:rsid w:val="00687488"/>
    <w:rsid w:val="00687A8C"/>
    <w:rsid w:val="00690E2E"/>
    <w:rsid w:val="006915D7"/>
    <w:rsid w:val="00692814"/>
    <w:rsid w:val="006932E7"/>
    <w:rsid w:val="00693347"/>
    <w:rsid w:val="0069334C"/>
    <w:rsid w:val="00696D63"/>
    <w:rsid w:val="00697EF0"/>
    <w:rsid w:val="006A032F"/>
    <w:rsid w:val="006A146E"/>
    <w:rsid w:val="006A1BEB"/>
    <w:rsid w:val="006A41AE"/>
    <w:rsid w:val="006A4856"/>
    <w:rsid w:val="006A564B"/>
    <w:rsid w:val="006A6ED5"/>
    <w:rsid w:val="006B1545"/>
    <w:rsid w:val="006B23B9"/>
    <w:rsid w:val="006B2DA7"/>
    <w:rsid w:val="006B2F4D"/>
    <w:rsid w:val="006B3682"/>
    <w:rsid w:val="006B48CB"/>
    <w:rsid w:val="006B564D"/>
    <w:rsid w:val="006C1445"/>
    <w:rsid w:val="006C3AB0"/>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626A"/>
    <w:rsid w:val="0071705B"/>
    <w:rsid w:val="00720505"/>
    <w:rsid w:val="0072280A"/>
    <w:rsid w:val="00723218"/>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1799"/>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57E0"/>
    <w:rsid w:val="007962B4"/>
    <w:rsid w:val="00796F15"/>
    <w:rsid w:val="007972F8"/>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6CC"/>
    <w:rsid w:val="007C4B0F"/>
    <w:rsid w:val="007C4DAD"/>
    <w:rsid w:val="007C5830"/>
    <w:rsid w:val="007C5DB8"/>
    <w:rsid w:val="007C6CA2"/>
    <w:rsid w:val="007D05B2"/>
    <w:rsid w:val="007D0C44"/>
    <w:rsid w:val="007D1972"/>
    <w:rsid w:val="007D1F33"/>
    <w:rsid w:val="007D3307"/>
    <w:rsid w:val="007D3436"/>
    <w:rsid w:val="007D557B"/>
    <w:rsid w:val="007D5E27"/>
    <w:rsid w:val="007D6F64"/>
    <w:rsid w:val="007E25AB"/>
    <w:rsid w:val="007E3E3B"/>
    <w:rsid w:val="007E44FC"/>
    <w:rsid w:val="007E5AC2"/>
    <w:rsid w:val="007E79C5"/>
    <w:rsid w:val="007F0DB4"/>
    <w:rsid w:val="007F2845"/>
    <w:rsid w:val="007F43BC"/>
    <w:rsid w:val="007F4740"/>
    <w:rsid w:val="008006C6"/>
    <w:rsid w:val="00800C52"/>
    <w:rsid w:val="0080153E"/>
    <w:rsid w:val="0080263A"/>
    <w:rsid w:val="0080329D"/>
    <w:rsid w:val="00804F45"/>
    <w:rsid w:val="008072EA"/>
    <w:rsid w:val="0080742D"/>
    <w:rsid w:val="008100AC"/>
    <w:rsid w:val="0081151E"/>
    <w:rsid w:val="00812498"/>
    <w:rsid w:val="008127E6"/>
    <w:rsid w:val="0081336E"/>
    <w:rsid w:val="00813928"/>
    <w:rsid w:val="008154EC"/>
    <w:rsid w:val="0081600B"/>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7697A"/>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229"/>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3A18"/>
    <w:rsid w:val="00915B81"/>
    <w:rsid w:val="00915D6B"/>
    <w:rsid w:val="009160DF"/>
    <w:rsid w:val="009162C7"/>
    <w:rsid w:val="00916EC2"/>
    <w:rsid w:val="009213BD"/>
    <w:rsid w:val="00924627"/>
    <w:rsid w:val="009250A8"/>
    <w:rsid w:val="00925BE6"/>
    <w:rsid w:val="00926019"/>
    <w:rsid w:val="00926F61"/>
    <w:rsid w:val="00926FA9"/>
    <w:rsid w:val="0093123D"/>
    <w:rsid w:val="00933040"/>
    <w:rsid w:val="009330E9"/>
    <w:rsid w:val="00934D97"/>
    <w:rsid w:val="00935D15"/>
    <w:rsid w:val="009411FB"/>
    <w:rsid w:val="009414A9"/>
    <w:rsid w:val="00941B71"/>
    <w:rsid w:val="00941DF9"/>
    <w:rsid w:val="00942141"/>
    <w:rsid w:val="009421AD"/>
    <w:rsid w:val="0094221C"/>
    <w:rsid w:val="0094409C"/>
    <w:rsid w:val="00944159"/>
    <w:rsid w:val="009449B2"/>
    <w:rsid w:val="00944A82"/>
    <w:rsid w:val="00944BA5"/>
    <w:rsid w:val="00946C4D"/>
    <w:rsid w:val="0095019A"/>
    <w:rsid w:val="009515E8"/>
    <w:rsid w:val="0095285B"/>
    <w:rsid w:val="009536B2"/>
    <w:rsid w:val="00953FE9"/>
    <w:rsid w:val="0095481C"/>
    <w:rsid w:val="0095526F"/>
    <w:rsid w:val="009567E6"/>
    <w:rsid w:val="00957076"/>
    <w:rsid w:val="00957132"/>
    <w:rsid w:val="009576FD"/>
    <w:rsid w:val="009578EB"/>
    <w:rsid w:val="009578FF"/>
    <w:rsid w:val="00960446"/>
    <w:rsid w:val="009610ED"/>
    <w:rsid w:val="009633BB"/>
    <w:rsid w:val="0096485F"/>
    <w:rsid w:val="00966677"/>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8AF"/>
    <w:rsid w:val="009A1AAC"/>
    <w:rsid w:val="009A3789"/>
    <w:rsid w:val="009A41DB"/>
    <w:rsid w:val="009A45A2"/>
    <w:rsid w:val="009A6919"/>
    <w:rsid w:val="009A6AC7"/>
    <w:rsid w:val="009B0408"/>
    <w:rsid w:val="009B0843"/>
    <w:rsid w:val="009B1E47"/>
    <w:rsid w:val="009B2CED"/>
    <w:rsid w:val="009B335D"/>
    <w:rsid w:val="009B34CB"/>
    <w:rsid w:val="009B3C90"/>
    <w:rsid w:val="009B7A72"/>
    <w:rsid w:val="009B7BB8"/>
    <w:rsid w:val="009C126A"/>
    <w:rsid w:val="009C1D4C"/>
    <w:rsid w:val="009C2DD2"/>
    <w:rsid w:val="009C441F"/>
    <w:rsid w:val="009C4833"/>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33D7"/>
    <w:rsid w:val="009E3CD1"/>
    <w:rsid w:val="009E5AF5"/>
    <w:rsid w:val="009E5D06"/>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2680B"/>
    <w:rsid w:val="00A30B2D"/>
    <w:rsid w:val="00A311AE"/>
    <w:rsid w:val="00A312A6"/>
    <w:rsid w:val="00A3130E"/>
    <w:rsid w:val="00A3193B"/>
    <w:rsid w:val="00A324CF"/>
    <w:rsid w:val="00A32E8B"/>
    <w:rsid w:val="00A32ED6"/>
    <w:rsid w:val="00A344A5"/>
    <w:rsid w:val="00A346C3"/>
    <w:rsid w:val="00A34D4A"/>
    <w:rsid w:val="00A36155"/>
    <w:rsid w:val="00A40FF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6F7D"/>
    <w:rsid w:val="00A5765D"/>
    <w:rsid w:val="00A607CB"/>
    <w:rsid w:val="00A6351F"/>
    <w:rsid w:val="00A6391B"/>
    <w:rsid w:val="00A64278"/>
    <w:rsid w:val="00A64649"/>
    <w:rsid w:val="00A65A70"/>
    <w:rsid w:val="00A66F36"/>
    <w:rsid w:val="00A676D9"/>
    <w:rsid w:val="00A67EFC"/>
    <w:rsid w:val="00A7031E"/>
    <w:rsid w:val="00A71140"/>
    <w:rsid w:val="00A74692"/>
    <w:rsid w:val="00A7618B"/>
    <w:rsid w:val="00A7640B"/>
    <w:rsid w:val="00A7778B"/>
    <w:rsid w:val="00A803BC"/>
    <w:rsid w:val="00A80969"/>
    <w:rsid w:val="00A82ED3"/>
    <w:rsid w:val="00A8609D"/>
    <w:rsid w:val="00A86EA7"/>
    <w:rsid w:val="00A91244"/>
    <w:rsid w:val="00A91C7F"/>
    <w:rsid w:val="00A921EE"/>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4C10"/>
    <w:rsid w:val="00AC60B4"/>
    <w:rsid w:val="00AC7D98"/>
    <w:rsid w:val="00AD00C5"/>
    <w:rsid w:val="00AD165F"/>
    <w:rsid w:val="00AD2794"/>
    <w:rsid w:val="00AD2DC5"/>
    <w:rsid w:val="00AD3455"/>
    <w:rsid w:val="00AD3CAD"/>
    <w:rsid w:val="00AD66D6"/>
    <w:rsid w:val="00AD69FF"/>
    <w:rsid w:val="00AD702B"/>
    <w:rsid w:val="00AD72E6"/>
    <w:rsid w:val="00AD7C95"/>
    <w:rsid w:val="00AE3DE1"/>
    <w:rsid w:val="00AE5439"/>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34E6"/>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25CC"/>
    <w:rsid w:val="00B63337"/>
    <w:rsid w:val="00B6369F"/>
    <w:rsid w:val="00B639D7"/>
    <w:rsid w:val="00B64AA7"/>
    <w:rsid w:val="00B66594"/>
    <w:rsid w:val="00B669C6"/>
    <w:rsid w:val="00B67805"/>
    <w:rsid w:val="00B721CD"/>
    <w:rsid w:val="00B7267A"/>
    <w:rsid w:val="00B726FF"/>
    <w:rsid w:val="00B72A5B"/>
    <w:rsid w:val="00B72AA4"/>
    <w:rsid w:val="00B72F63"/>
    <w:rsid w:val="00B75454"/>
    <w:rsid w:val="00B76BCD"/>
    <w:rsid w:val="00B76EE9"/>
    <w:rsid w:val="00B778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23FB"/>
    <w:rsid w:val="00BD3846"/>
    <w:rsid w:val="00BD3E68"/>
    <w:rsid w:val="00BD4D62"/>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19CF"/>
    <w:rsid w:val="00C03309"/>
    <w:rsid w:val="00C072FE"/>
    <w:rsid w:val="00C12E39"/>
    <w:rsid w:val="00C14164"/>
    <w:rsid w:val="00C15D8E"/>
    <w:rsid w:val="00C17012"/>
    <w:rsid w:val="00C178FB"/>
    <w:rsid w:val="00C17DF9"/>
    <w:rsid w:val="00C20ACC"/>
    <w:rsid w:val="00C22B28"/>
    <w:rsid w:val="00C257B7"/>
    <w:rsid w:val="00C272E8"/>
    <w:rsid w:val="00C2730B"/>
    <w:rsid w:val="00C31FAA"/>
    <w:rsid w:val="00C33359"/>
    <w:rsid w:val="00C348D6"/>
    <w:rsid w:val="00C365E7"/>
    <w:rsid w:val="00C36E34"/>
    <w:rsid w:val="00C404EE"/>
    <w:rsid w:val="00C4171B"/>
    <w:rsid w:val="00C42689"/>
    <w:rsid w:val="00C42988"/>
    <w:rsid w:val="00C42BD4"/>
    <w:rsid w:val="00C43FF0"/>
    <w:rsid w:val="00C44604"/>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F08"/>
    <w:rsid w:val="00C6406B"/>
    <w:rsid w:val="00C643EA"/>
    <w:rsid w:val="00C6528C"/>
    <w:rsid w:val="00C661E8"/>
    <w:rsid w:val="00C70084"/>
    <w:rsid w:val="00C7235B"/>
    <w:rsid w:val="00C72E18"/>
    <w:rsid w:val="00C731AD"/>
    <w:rsid w:val="00C7380B"/>
    <w:rsid w:val="00C74421"/>
    <w:rsid w:val="00C75F2F"/>
    <w:rsid w:val="00C75FEE"/>
    <w:rsid w:val="00C76F1D"/>
    <w:rsid w:val="00C77D26"/>
    <w:rsid w:val="00C77F34"/>
    <w:rsid w:val="00C80B14"/>
    <w:rsid w:val="00C80BDF"/>
    <w:rsid w:val="00C815DF"/>
    <w:rsid w:val="00C82514"/>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338C"/>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56DB"/>
    <w:rsid w:val="00DA6452"/>
    <w:rsid w:val="00DA6FE9"/>
    <w:rsid w:val="00DA7925"/>
    <w:rsid w:val="00DB0AB8"/>
    <w:rsid w:val="00DB0D2A"/>
    <w:rsid w:val="00DB11CD"/>
    <w:rsid w:val="00DB1DAB"/>
    <w:rsid w:val="00DB39D4"/>
    <w:rsid w:val="00DB3A47"/>
    <w:rsid w:val="00DB4E06"/>
    <w:rsid w:val="00DB68AE"/>
    <w:rsid w:val="00DB6A80"/>
    <w:rsid w:val="00DB6C06"/>
    <w:rsid w:val="00DB7B06"/>
    <w:rsid w:val="00DC318A"/>
    <w:rsid w:val="00DC3A9D"/>
    <w:rsid w:val="00DC6C1E"/>
    <w:rsid w:val="00DC7951"/>
    <w:rsid w:val="00DD0864"/>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4D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28F"/>
    <w:rsid w:val="00E30F2D"/>
    <w:rsid w:val="00E314F8"/>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4D0B"/>
    <w:rsid w:val="00EC5F2F"/>
    <w:rsid w:val="00EC651E"/>
    <w:rsid w:val="00EC692E"/>
    <w:rsid w:val="00EC745E"/>
    <w:rsid w:val="00EC7EAF"/>
    <w:rsid w:val="00ED27C3"/>
    <w:rsid w:val="00ED2C7F"/>
    <w:rsid w:val="00ED334A"/>
    <w:rsid w:val="00ED33AE"/>
    <w:rsid w:val="00ED35EA"/>
    <w:rsid w:val="00ED3775"/>
    <w:rsid w:val="00ED4A6D"/>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5F60"/>
    <w:rsid w:val="00F265F7"/>
    <w:rsid w:val="00F27FA6"/>
    <w:rsid w:val="00F31ABB"/>
    <w:rsid w:val="00F33DC8"/>
    <w:rsid w:val="00F34444"/>
    <w:rsid w:val="00F403DB"/>
    <w:rsid w:val="00F4065A"/>
    <w:rsid w:val="00F4275C"/>
    <w:rsid w:val="00F45693"/>
    <w:rsid w:val="00F52339"/>
    <w:rsid w:val="00F5277A"/>
    <w:rsid w:val="00F532E8"/>
    <w:rsid w:val="00F537FF"/>
    <w:rsid w:val="00F54D4C"/>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1F1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B6A"/>
    <w:rsid w:val="00F94DB3"/>
    <w:rsid w:val="00F96500"/>
    <w:rsid w:val="00FA08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503"/>
    <w:rsid w:val="00FF16F2"/>
    <w:rsid w:val="00FF2B42"/>
    <w:rsid w:val="00FF2D5B"/>
    <w:rsid w:val="00FF2ED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4227436">
      <w:bodyDiv w:val="1"/>
      <w:marLeft w:val="0"/>
      <w:marRight w:val="0"/>
      <w:marTop w:val="0"/>
      <w:marBottom w:val="0"/>
      <w:divBdr>
        <w:top w:val="none" w:sz="0" w:space="0" w:color="auto"/>
        <w:left w:val="none" w:sz="0" w:space="0" w:color="auto"/>
        <w:bottom w:val="none" w:sz="0" w:space="0" w:color="auto"/>
        <w:right w:val="none" w:sz="0" w:space="0" w:color="auto"/>
      </w:divBdr>
      <w:divsChild>
        <w:div w:id="238516976">
          <w:marLeft w:val="547"/>
          <w:marRight w:val="0"/>
          <w:marTop w:val="0"/>
          <w:marBottom w:val="120"/>
          <w:divBdr>
            <w:top w:val="none" w:sz="0" w:space="0" w:color="auto"/>
            <w:left w:val="none" w:sz="0" w:space="0" w:color="auto"/>
            <w:bottom w:val="none" w:sz="0" w:space="0" w:color="auto"/>
            <w:right w:val="none" w:sz="0" w:space="0" w:color="auto"/>
          </w:divBdr>
        </w:div>
        <w:div w:id="1666207401">
          <w:marLeft w:val="1166"/>
          <w:marRight w:val="0"/>
          <w:marTop w:val="0"/>
          <w:marBottom w:val="120"/>
          <w:divBdr>
            <w:top w:val="none" w:sz="0" w:space="0" w:color="auto"/>
            <w:left w:val="none" w:sz="0" w:space="0" w:color="auto"/>
            <w:bottom w:val="none" w:sz="0" w:space="0" w:color="auto"/>
            <w:right w:val="none" w:sz="0" w:space="0" w:color="auto"/>
          </w:divBdr>
        </w:div>
        <w:div w:id="174878801">
          <w:marLeft w:val="1800"/>
          <w:marRight w:val="0"/>
          <w:marTop w:val="0"/>
          <w:marBottom w:val="120"/>
          <w:divBdr>
            <w:top w:val="none" w:sz="0" w:space="0" w:color="auto"/>
            <w:left w:val="none" w:sz="0" w:space="0" w:color="auto"/>
            <w:bottom w:val="none" w:sz="0" w:space="0" w:color="auto"/>
            <w:right w:val="none" w:sz="0" w:space="0" w:color="auto"/>
          </w:divBdr>
        </w:div>
        <w:div w:id="1100489691">
          <w:marLeft w:val="1166"/>
          <w:marRight w:val="0"/>
          <w:marTop w:val="0"/>
          <w:marBottom w:val="120"/>
          <w:divBdr>
            <w:top w:val="none" w:sz="0" w:space="0" w:color="auto"/>
            <w:left w:val="none" w:sz="0" w:space="0" w:color="auto"/>
            <w:bottom w:val="none" w:sz="0" w:space="0" w:color="auto"/>
            <w:right w:val="none" w:sz="0" w:space="0" w:color="auto"/>
          </w:divBdr>
        </w:div>
        <w:div w:id="30571258">
          <w:marLeft w:val="1800"/>
          <w:marRight w:val="0"/>
          <w:marTop w:val="0"/>
          <w:marBottom w:val="120"/>
          <w:divBdr>
            <w:top w:val="none" w:sz="0" w:space="0" w:color="auto"/>
            <w:left w:val="none" w:sz="0" w:space="0" w:color="auto"/>
            <w:bottom w:val="none" w:sz="0" w:space="0" w:color="auto"/>
            <w:right w:val="none" w:sz="0" w:space="0" w:color="auto"/>
          </w:divBdr>
        </w:div>
        <w:div w:id="1214465941">
          <w:marLeft w:val="1166"/>
          <w:marRight w:val="0"/>
          <w:marTop w:val="0"/>
          <w:marBottom w:val="120"/>
          <w:divBdr>
            <w:top w:val="none" w:sz="0" w:space="0" w:color="auto"/>
            <w:left w:val="none" w:sz="0" w:space="0" w:color="auto"/>
            <w:bottom w:val="none" w:sz="0" w:space="0" w:color="auto"/>
            <w:right w:val="none" w:sz="0" w:space="0" w:color="auto"/>
          </w:divBdr>
        </w:div>
        <w:div w:id="1473449198">
          <w:marLeft w:val="116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413904">
      <w:bodyDiv w:val="1"/>
      <w:marLeft w:val="0"/>
      <w:marRight w:val="0"/>
      <w:marTop w:val="0"/>
      <w:marBottom w:val="0"/>
      <w:divBdr>
        <w:top w:val="none" w:sz="0" w:space="0" w:color="auto"/>
        <w:left w:val="none" w:sz="0" w:space="0" w:color="auto"/>
        <w:bottom w:val="none" w:sz="0" w:space="0" w:color="auto"/>
        <w:right w:val="none" w:sz="0" w:space="0" w:color="auto"/>
      </w:divBdr>
      <w:divsChild>
        <w:div w:id="1983383850">
          <w:marLeft w:val="547"/>
          <w:marRight w:val="0"/>
          <w:marTop w:val="0"/>
          <w:marBottom w:val="120"/>
          <w:divBdr>
            <w:top w:val="none" w:sz="0" w:space="0" w:color="auto"/>
            <w:left w:val="none" w:sz="0" w:space="0" w:color="auto"/>
            <w:bottom w:val="none" w:sz="0" w:space="0" w:color="auto"/>
            <w:right w:val="none" w:sz="0" w:space="0" w:color="auto"/>
          </w:divBdr>
        </w:div>
        <w:div w:id="1234656301">
          <w:marLeft w:val="1166"/>
          <w:marRight w:val="0"/>
          <w:marTop w:val="0"/>
          <w:marBottom w:val="120"/>
          <w:divBdr>
            <w:top w:val="none" w:sz="0" w:space="0" w:color="auto"/>
            <w:left w:val="none" w:sz="0" w:space="0" w:color="auto"/>
            <w:bottom w:val="none" w:sz="0" w:space="0" w:color="auto"/>
            <w:right w:val="none" w:sz="0" w:space="0" w:color="auto"/>
          </w:divBdr>
        </w:div>
        <w:div w:id="1053697653">
          <w:marLeft w:val="1800"/>
          <w:marRight w:val="0"/>
          <w:marTop w:val="0"/>
          <w:marBottom w:val="120"/>
          <w:divBdr>
            <w:top w:val="none" w:sz="0" w:space="0" w:color="auto"/>
            <w:left w:val="none" w:sz="0" w:space="0" w:color="auto"/>
            <w:bottom w:val="none" w:sz="0" w:space="0" w:color="auto"/>
            <w:right w:val="none" w:sz="0" w:space="0" w:color="auto"/>
          </w:divBdr>
        </w:div>
        <w:div w:id="786660393">
          <w:marLeft w:val="1166"/>
          <w:marRight w:val="0"/>
          <w:marTop w:val="0"/>
          <w:marBottom w:val="120"/>
          <w:divBdr>
            <w:top w:val="none" w:sz="0" w:space="0" w:color="auto"/>
            <w:left w:val="none" w:sz="0" w:space="0" w:color="auto"/>
            <w:bottom w:val="none" w:sz="0" w:space="0" w:color="auto"/>
            <w:right w:val="none" w:sz="0" w:space="0" w:color="auto"/>
          </w:divBdr>
        </w:div>
        <w:div w:id="1921138705">
          <w:marLeft w:val="1800"/>
          <w:marRight w:val="0"/>
          <w:marTop w:val="0"/>
          <w:marBottom w:val="120"/>
          <w:divBdr>
            <w:top w:val="none" w:sz="0" w:space="0" w:color="auto"/>
            <w:left w:val="none" w:sz="0" w:space="0" w:color="auto"/>
            <w:bottom w:val="none" w:sz="0" w:space="0" w:color="auto"/>
            <w:right w:val="none" w:sz="0" w:space="0" w:color="auto"/>
          </w:divBdr>
        </w:div>
        <w:div w:id="224996336">
          <w:marLeft w:val="1166"/>
          <w:marRight w:val="0"/>
          <w:marTop w:val="0"/>
          <w:marBottom w:val="120"/>
          <w:divBdr>
            <w:top w:val="none" w:sz="0" w:space="0" w:color="auto"/>
            <w:left w:val="none" w:sz="0" w:space="0" w:color="auto"/>
            <w:bottom w:val="none" w:sz="0" w:space="0" w:color="auto"/>
            <w:right w:val="none" w:sz="0" w:space="0" w:color="auto"/>
          </w:divBdr>
        </w:div>
        <w:div w:id="1572228729">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147429">
      <w:bodyDiv w:val="1"/>
      <w:marLeft w:val="0"/>
      <w:marRight w:val="0"/>
      <w:marTop w:val="0"/>
      <w:marBottom w:val="0"/>
      <w:divBdr>
        <w:top w:val="none" w:sz="0" w:space="0" w:color="auto"/>
        <w:left w:val="none" w:sz="0" w:space="0" w:color="auto"/>
        <w:bottom w:val="none" w:sz="0" w:space="0" w:color="auto"/>
        <w:right w:val="none" w:sz="0" w:space="0" w:color="auto"/>
      </w:divBdr>
      <w:divsChild>
        <w:div w:id="1522478173">
          <w:marLeft w:val="1166"/>
          <w:marRight w:val="0"/>
          <w:marTop w:val="0"/>
          <w:marBottom w:val="120"/>
          <w:divBdr>
            <w:top w:val="none" w:sz="0" w:space="0" w:color="auto"/>
            <w:left w:val="none" w:sz="0" w:space="0" w:color="auto"/>
            <w:bottom w:val="none" w:sz="0" w:space="0" w:color="auto"/>
            <w:right w:val="none" w:sz="0" w:space="0" w:color="auto"/>
          </w:divBdr>
        </w:div>
        <w:div w:id="292519287">
          <w:marLeft w:val="1800"/>
          <w:marRight w:val="0"/>
          <w:marTop w:val="0"/>
          <w:marBottom w:val="120"/>
          <w:divBdr>
            <w:top w:val="none" w:sz="0" w:space="0" w:color="auto"/>
            <w:left w:val="none" w:sz="0" w:space="0" w:color="auto"/>
            <w:bottom w:val="none" w:sz="0" w:space="0" w:color="auto"/>
            <w:right w:val="none" w:sz="0" w:space="0" w:color="auto"/>
          </w:divBdr>
        </w:div>
        <w:div w:id="1616055247">
          <w:marLeft w:val="1800"/>
          <w:marRight w:val="0"/>
          <w:marTop w:val="0"/>
          <w:marBottom w:val="120"/>
          <w:divBdr>
            <w:top w:val="none" w:sz="0" w:space="0" w:color="auto"/>
            <w:left w:val="none" w:sz="0" w:space="0" w:color="auto"/>
            <w:bottom w:val="none" w:sz="0" w:space="0" w:color="auto"/>
            <w:right w:val="none" w:sz="0" w:space="0" w:color="auto"/>
          </w:divBdr>
        </w:div>
        <w:div w:id="538082866">
          <w:marLeft w:val="360"/>
          <w:marRight w:val="0"/>
          <w:marTop w:val="0"/>
          <w:marBottom w:val="120"/>
          <w:divBdr>
            <w:top w:val="none" w:sz="0" w:space="0" w:color="auto"/>
            <w:left w:val="none" w:sz="0" w:space="0" w:color="auto"/>
            <w:bottom w:val="none" w:sz="0" w:space="0" w:color="auto"/>
            <w:right w:val="none" w:sz="0" w:space="0" w:color="auto"/>
          </w:divBdr>
        </w:div>
        <w:div w:id="1552307191">
          <w:marLeft w:val="180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4815016">
      <w:bodyDiv w:val="1"/>
      <w:marLeft w:val="0"/>
      <w:marRight w:val="0"/>
      <w:marTop w:val="0"/>
      <w:marBottom w:val="0"/>
      <w:divBdr>
        <w:top w:val="none" w:sz="0" w:space="0" w:color="auto"/>
        <w:left w:val="none" w:sz="0" w:space="0" w:color="auto"/>
        <w:bottom w:val="none" w:sz="0" w:space="0" w:color="auto"/>
        <w:right w:val="none" w:sz="0" w:space="0" w:color="auto"/>
      </w:divBdr>
      <w:divsChild>
        <w:div w:id="948320411">
          <w:marLeft w:val="1166"/>
          <w:marRight w:val="0"/>
          <w:marTop w:val="0"/>
          <w:marBottom w:val="120"/>
          <w:divBdr>
            <w:top w:val="none" w:sz="0" w:space="0" w:color="auto"/>
            <w:left w:val="none" w:sz="0" w:space="0" w:color="auto"/>
            <w:bottom w:val="none" w:sz="0" w:space="0" w:color="auto"/>
            <w:right w:val="none" w:sz="0" w:space="0" w:color="auto"/>
          </w:divBdr>
        </w:div>
        <w:div w:id="1956281194">
          <w:marLeft w:val="1800"/>
          <w:marRight w:val="0"/>
          <w:marTop w:val="0"/>
          <w:marBottom w:val="120"/>
          <w:divBdr>
            <w:top w:val="none" w:sz="0" w:space="0" w:color="auto"/>
            <w:left w:val="none" w:sz="0" w:space="0" w:color="auto"/>
            <w:bottom w:val="none" w:sz="0" w:space="0" w:color="auto"/>
            <w:right w:val="none" w:sz="0" w:space="0" w:color="auto"/>
          </w:divBdr>
        </w:div>
        <w:div w:id="679626133">
          <w:marLeft w:val="1800"/>
          <w:marRight w:val="0"/>
          <w:marTop w:val="0"/>
          <w:marBottom w:val="120"/>
          <w:divBdr>
            <w:top w:val="none" w:sz="0" w:space="0" w:color="auto"/>
            <w:left w:val="none" w:sz="0" w:space="0" w:color="auto"/>
            <w:bottom w:val="none" w:sz="0" w:space="0" w:color="auto"/>
            <w:right w:val="none" w:sz="0" w:space="0" w:color="auto"/>
          </w:divBdr>
        </w:div>
        <w:div w:id="413018282">
          <w:marLeft w:val="360"/>
          <w:marRight w:val="0"/>
          <w:marTop w:val="0"/>
          <w:marBottom w:val="120"/>
          <w:divBdr>
            <w:top w:val="none" w:sz="0" w:space="0" w:color="auto"/>
            <w:left w:val="none" w:sz="0" w:space="0" w:color="auto"/>
            <w:bottom w:val="none" w:sz="0" w:space="0" w:color="auto"/>
            <w:right w:val="none" w:sz="0" w:space="0" w:color="auto"/>
          </w:divBdr>
        </w:div>
        <w:div w:id="1412971897">
          <w:marLeft w:val="180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5AIRPNAIUNRU-1830940522-2290</_dlc_DocId>
    <_dlc_DocIdUrl xmlns="71c5aaf6-e6ce-465b-b873-5148d2a4c105">
      <Url>https://nokia.sharepoint.com/sites/c5g/5gradio/_layouts/15/DocIdRedir.aspx?ID=5AIRPNAIUNRU-1830940522-2290</Url>
      <Description>5AIRPNAIUNRU-1830940522-2290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50A94-8F82-4244-B649-932580850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215C91-622A-4478-BB60-117B0706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Schober, Karol (Nokia - FI/Espoo)</cp:lastModifiedBy>
  <cp:revision>2</cp:revision>
  <cp:lastPrinted>2016-06-20T11:35:00Z</cp:lastPrinted>
  <dcterms:created xsi:type="dcterms:W3CDTF">2017-11-17T19:25:00Z</dcterms:created>
  <dcterms:modified xsi:type="dcterms:W3CDTF">2017-11-17T19:25:00Z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a5df8df2-5995-4d3a-b85b-a091130e2837</vt:lpwstr>
  </property>
</Properties>
</file>